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AD394F" w14:textId="77777777" w:rsidR="00B73A46" w:rsidRDefault="00B73A46" w:rsidP="00B73A46">
      <w:pPr>
        <w:jc w:val="center"/>
        <w:rPr>
          <w:b/>
          <w:sz w:val="32"/>
          <w:szCs w:val="32"/>
        </w:rPr>
      </w:pPr>
      <w:r w:rsidRPr="00537607">
        <w:rPr>
          <w:b/>
          <w:sz w:val="32"/>
          <w:szCs w:val="32"/>
        </w:rPr>
        <w:t>Air Quality</w:t>
      </w:r>
      <w:r>
        <w:rPr>
          <w:b/>
          <w:sz w:val="32"/>
          <w:szCs w:val="32"/>
        </w:rPr>
        <w:t>, Greenhous Gas Emissions,</w:t>
      </w:r>
      <w:r w:rsidRPr="00537607">
        <w:rPr>
          <w:b/>
          <w:sz w:val="32"/>
          <w:szCs w:val="32"/>
        </w:rPr>
        <w:t xml:space="preserve"> </w:t>
      </w:r>
      <w:r>
        <w:rPr>
          <w:b/>
          <w:sz w:val="32"/>
          <w:szCs w:val="32"/>
        </w:rPr>
        <w:t>and Energy</w:t>
      </w:r>
    </w:p>
    <w:p w14:paraId="557C3309" w14:textId="77777777" w:rsidR="00B73A46" w:rsidRDefault="00B73A46" w:rsidP="00B73A46">
      <w:pPr>
        <w:jc w:val="center"/>
        <w:rPr>
          <w:b/>
          <w:sz w:val="32"/>
          <w:szCs w:val="32"/>
        </w:rPr>
      </w:pPr>
      <w:r>
        <w:rPr>
          <w:b/>
          <w:sz w:val="32"/>
          <w:szCs w:val="32"/>
        </w:rPr>
        <w:t xml:space="preserve"> </w:t>
      </w:r>
      <w:r w:rsidRPr="00537607">
        <w:rPr>
          <w:b/>
          <w:sz w:val="32"/>
          <w:szCs w:val="32"/>
        </w:rPr>
        <w:t>Discipline Report</w:t>
      </w:r>
    </w:p>
    <w:p w14:paraId="18BEC7F9" w14:textId="77777777" w:rsidR="00B73A46" w:rsidRDefault="00B73A46" w:rsidP="00B73A46">
      <w:pPr>
        <w:jc w:val="center"/>
        <w:rPr>
          <w:b/>
          <w:sz w:val="32"/>
          <w:szCs w:val="32"/>
        </w:rPr>
      </w:pPr>
    </w:p>
    <w:p w14:paraId="6A0A5DEB" w14:textId="77777777" w:rsidR="00B73A46" w:rsidRPr="00095E87" w:rsidRDefault="00B73A46" w:rsidP="00B73A46">
      <w:pPr>
        <w:jc w:val="center"/>
        <w:rPr>
          <w:b/>
          <w:sz w:val="48"/>
          <w:szCs w:val="48"/>
        </w:rPr>
      </w:pPr>
      <w:r w:rsidRPr="00095E87">
        <w:rPr>
          <w:b/>
          <w:sz w:val="48"/>
          <w:szCs w:val="48"/>
        </w:rPr>
        <w:t>TEMPLATE</w:t>
      </w:r>
    </w:p>
    <w:p w14:paraId="2AC1DEA2" w14:textId="77777777" w:rsidR="00B73A46" w:rsidRDefault="00B73A46" w:rsidP="00B73A46">
      <w:pPr>
        <w:jc w:val="center"/>
        <w:rPr>
          <w:b/>
          <w:sz w:val="32"/>
          <w:szCs w:val="32"/>
        </w:rPr>
      </w:pPr>
    </w:p>
    <w:p w14:paraId="6A86B3A8" w14:textId="77777777" w:rsidR="00B73A46" w:rsidRDefault="00B73A46" w:rsidP="00B73A46">
      <w:pPr>
        <w:jc w:val="center"/>
      </w:pPr>
      <w:r>
        <w:t>April 2020</w:t>
      </w:r>
    </w:p>
    <w:p w14:paraId="4CA726D2" w14:textId="77777777" w:rsidR="00B73A46" w:rsidRDefault="00B73A46" w:rsidP="00B73A46">
      <w:pPr>
        <w:jc w:val="center"/>
      </w:pPr>
    </w:p>
    <w:p w14:paraId="43892A9E" w14:textId="77777777" w:rsidR="00B73A46" w:rsidRDefault="00B73A46" w:rsidP="00B73A46">
      <w:pPr>
        <w:jc w:val="center"/>
      </w:pPr>
      <w:bookmarkStart w:id="0" w:name="_GoBack"/>
      <w:bookmarkEnd w:id="0"/>
    </w:p>
    <w:p w14:paraId="0034D18F" w14:textId="77777777" w:rsidR="00B73A46" w:rsidRDefault="00B73A46" w:rsidP="00B73A46">
      <w:pPr>
        <w:jc w:val="center"/>
      </w:pPr>
    </w:p>
    <w:p w14:paraId="05580C7B" w14:textId="77777777" w:rsidR="00B73A46" w:rsidRDefault="00B73A46" w:rsidP="00B73A46">
      <w:pPr>
        <w:jc w:val="center"/>
      </w:pPr>
    </w:p>
    <w:p w14:paraId="1DE380A3" w14:textId="77777777" w:rsidR="00B73A46" w:rsidRDefault="00B73A46" w:rsidP="00B73A46">
      <w:pPr>
        <w:jc w:val="center"/>
      </w:pPr>
    </w:p>
    <w:p w14:paraId="3BCAA6AC" w14:textId="77777777" w:rsidR="00B73A46" w:rsidRDefault="00B73A46" w:rsidP="00B73A46">
      <w:pPr>
        <w:jc w:val="center"/>
      </w:pPr>
    </w:p>
    <w:p w14:paraId="6868E3A5" w14:textId="77777777" w:rsidR="00B73A46" w:rsidRDefault="00B73A46" w:rsidP="00B73A46">
      <w:pPr>
        <w:jc w:val="center"/>
      </w:pPr>
    </w:p>
    <w:p w14:paraId="1AF21A4B" w14:textId="77777777" w:rsidR="00B73A46" w:rsidRDefault="00B73A46" w:rsidP="00B73A46">
      <w:pPr>
        <w:jc w:val="center"/>
      </w:pPr>
    </w:p>
    <w:p w14:paraId="54E7718F" w14:textId="77777777" w:rsidR="00B73A46" w:rsidRDefault="00B73A46" w:rsidP="00B73A46">
      <w:pPr>
        <w:jc w:val="center"/>
        <w:rPr>
          <w:i/>
          <w:color w:val="FF0000"/>
          <w:sz w:val="28"/>
          <w:szCs w:val="28"/>
        </w:rPr>
      </w:pPr>
      <w:r w:rsidRPr="004F4049">
        <w:rPr>
          <w:i/>
          <w:color w:val="FF0000"/>
          <w:sz w:val="28"/>
          <w:szCs w:val="28"/>
          <w:highlight w:val="yellow"/>
        </w:rPr>
        <w:t>Italicized red text with yellow highlight is instructions</w:t>
      </w:r>
    </w:p>
    <w:p w14:paraId="4DFC4B46" w14:textId="77777777" w:rsidR="00B73A46" w:rsidRPr="004F4049" w:rsidRDefault="00B73A46" w:rsidP="00B73A46">
      <w:pPr>
        <w:jc w:val="center"/>
        <w:rPr>
          <w:i/>
          <w:color w:val="FF0000"/>
          <w:sz w:val="28"/>
          <w:szCs w:val="28"/>
        </w:rPr>
      </w:pPr>
    </w:p>
    <w:p w14:paraId="62E08B7A" w14:textId="77777777" w:rsidR="00B73A46" w:rsidRPr="004F4049" w:rsidRDefault="00B73A46" w:rsidP="00B73A46">
      <w:pPr>
        <w:jc w:val="center"/>
        <w:rPr>
          <w:sz w:val="28"/>
          <w:szCs w:val="28"/>
        </w:rPr>
      </w:pPr>
      <w:r w:rsidRPr="004F4049">
        <w:rPr>
          <w:sz w:val="28"/>
          <w:szCs w:val="28"/>
          <w:highlight w:val="cyan"/>
        </w:rPr>
        <w:t>Blue highlighted text is example text, modify to apply to your project.</w:t>
      </w:r>
    </w:p>
    <w:p w14:paraId="5B53B95C" w14:textId="77777777" w:rsidR="00B73A46" w:rsidRPr="004F4049" w:rsidRDefault="00B73A46" w:rsidP="00B73A46">
      <w:pPr>
        <w:jc w:val="center"/>
        <w:rPr>
          <w:sz w:val="28"/>
          <w:szCs w:val="28"/>
        </w:rPr>
      </w:pPr>
    </w:p>
    <w:p w14:paraId="35FAE9CC" w14:textId="77777777" w:rsidR="00B73A46" w:rsidRPr="0032396B" w:rsidRDefault="00B73A46" w:rsidP="00B73A46">
      <w:pPr>
        <w:jc w:val="center"/>
        <w:rPr>
          <w:b/>
          <w:i/>
          <w:sz w:val="28"/>
          <w:szCs w:val="28"/>
        </w:rPr>
      </w:pPr>
    </w:p>
    <w:p w14:paraId="75E7F5BF" w14:textId="5E26939E" w:rsidR="00B73A46" w:rsidRPr="0032396B" w:rsidRDefault="00B73A46" w:rsidP="00B73A46">
      <w:pPr>
        <w:jc w:val="center"/>
        <w:rPr>
          <w:b/>
          <w:i/>
          <w:sz w:val="28"/>
          <w:szCs w:val="28"/>
        </w:rPr>
      </w:pPr>
      <w:r w:rsidRPr="0032396B">
        <w:rPr>
          <w:b/>
          <w:i/>
          <w:color w:val="FF0000"/>
          <w:sz w:val="28"/>
          <w:szCs w:val="28"/>
          <w:highlight w:val="yellow"/>
        </w:rPr>
        <w:t>WSDOT HQ AQ staff welcomes feedback on this template to i</w:t>
      </w:r>
      <w:r w:rsidR="000E5FEB">
        <w:rPr>
          <w:b/>
          <w:i/>
          <w:color w:val="FF0000"/>
          <w:sz w:val="28"/>
          <w:szCs w:val="28"/>
          <w:highlight w:val="yellow"/>
        </w:rPr>
        <w:t xml:space="preserve">ncorporate for future versions; </w:t>
      </w:r>
      <w:r w:rsidRPr="0032396B">
        <w:rPr>
          <w:b/>
          <w:i/>
          <w:color w:val="FF0000"/>
          <w:sz w:val="28"/>
          <w:szCs w:val="28"/>
          <w:highlight w:val="yellow"/>
        </w:rPr>
        <w:t xml:space="preserve">please check for the most up to date version at the start of each project. Please contact </w:t>
      </w:r>
      <w:hyperlink r:id="rId8" w:history="1">
        <w:r w:rsidRPr="0032396B">
          <w:rPr>
            <w:rStyle w:val="Hyperlink"/>
            <w:b/>
            <w:i/>
            <w:color w:val="FF0000"/>
            <w:sz w:val="28"/>
            <w:szCs w:val="28"/>
            <w:highlight w:val="yellow"/>
          </w:rPr>
          <w:t>Karin.landsberg@wsdot.wa.gov</w:t>
        </w:r>
      </w:hyperlink>
      <w:r w:rsidRPr="0032396B">
        <w:rPr>
          <w:b/>
          <w:i/>
          <w:color w:val="FF0000"/>
          <w:sz w:val="28"/>
          <w:szCs w:val="28"/>
          <w:highlight w:val="yellow"/>
        </w:rPr>
        <w:t xml:space="preserve"> with questions or feedback</w:t>
      </w:r>
      <w:r w:rsidRPr="0032396B">
        <w:rPr>
          <w:b/>
          <w:i/>
          <w:sz w:val="28"/>
          <w:szCs w:val="28"/>
        </w:rPr>
        <w:t xml:space="preserve">. </w:t>
      </w:r>
    </w:p>
    <w:p w14:paraId="5ECB9AE5" w14:textId="77777777" w:rsidR="00B73A46" w:rsidRDefault="00B73A46" w:rsidP="00B73A46">
      <w:pPr>
        <w:jc w:val="center"/>
      </w:pPr>
    </w:p>
    <w:p w14:paraId="44021C6E" w14:textId="4FFE4AC4" w:rsidR="00B73A46" w:rsidRDefault="00B73A46" w:rsidP="00B73A46">
      <w:pPr>
        <w:jc w:val="center"/>
      </w:pPr>
    </w:p>
    <w:p w14:paraId="69870E87" w14:textId="1A3A091B" w:rsidR="000E5FEB" w:rsidRDefault="000E5FEB" w:rsidP="00B73A46">
      <w:pPr>
        <w:jc w:val="center"/>
      </w:pPr>
    </w:p>
    <w:p w14:paraId="3F7C10CC" w14:textId="159D4099" w:rsidR="000E5FEB" w:rsidRDefault="000E5FEB" w:rsidP="00B73A46">
      <w:pPr>
        <w:jc w:val="center"/>
      </w:pPr>
    </w:p>
    <w:p w14:paraId="4CC3E2EE" w14:textId="11E5AAE4" w:rsidR="000E5FEB" w:rsidRDefault="000E5FEB" w:rsidP="00B73A46">
      <w:pPr>
        <w:jc w:val="center"/>
      </w:pPr>
    </w:p>
    <w:p w14:paraId="32D9ABEB" w14:textId="2181C19A" w:rsidR="000E5FEB" w:rsidRDefault="000E5FEB" w:rsidP="00B73A46">
      <w:pPr>
        <w:jc w:val="center"/>
      </w:pPr>
    </w:p>
    <w:p w14:paraId="0E35535B" w14:textId="77777777" w:rsidR="000E5FEB" w:rsidRDefault="000E5FEB" w:rsidP="000E5FEB">
      <w:pPr>
        <w:jc w:val="center"/>
      </w:pPr>
      <w:r>
        <w:t>April 2020</w:t>
      </w:r>
    </w:p>
    <w:p w14:paraId="09ECEAF2" w14:textId="77777777" w:rsidR="000E5FEB" w:rsidRDefault="000E5FEB" w:rsidP="00B73A46">
      <w:pPr>
        <w:jc w:val="center"/>
      </w:pPr>
    </w:p>
    <w:p w14:paraId="10C539CB" w14:textId="77777777" w:rsidR="00B73A46" w:rsidRDefault="00B73A46" w:rsidP="00C913F9">
      <w:pPr>
        <w:rPr>
          <w:b/>
          <w:sz w:val="32"/>
          <w:szCs w:val="32"/>
        </w:rPr>
        <w:sectPr w:rsidR="00B73A46" w:rsidSect="00283E36">
          <w:footerReference w:type="default" r:id="rId9"/>
          <w:pgSz w:w="12240" w:h="15840"/>
          <w:pgMar w:top="1440" w:right="1440" w:bottom="1440" w:left="1440" w:header="720" w:footer="720" w:gutter="0"/>
          <w:pgNumType w:start="1"/>
          <w:cols w:space="720"/>
          <w:titlePg/>
          <w:docGrid w:linePitch="360"/>
        </w:sectPr>
      </w:pPr>
    </w:p>
    <w:p w14:paraId="5EA684AB" w14:textId="559002B8" w:rsidR="008B1DFE" w:rsidRDefault="00886366" w:rsidP="00C913F9">
      <w:r>
        <w:rPr>
          <w:b/>
          <w:sz w:val="32"/>
          <w:szCs w:val="32"/>
        </w:rPr>
        <w:lastRenderedPageBreak/>
        <w:t>Contents</w:t>
      </w:r>
    </w:p>
    <w:p w14:paraId="1C454B6F" w14:textId="17EF9120" w:rsidR="007C589D" w:rsidRDefault="003F4BF5">
      <w:pPr>
        <w:pStyle w:val="TOC1"/>
        <w:tabs>
          <w:tab w:val="left" w:pos="480"/>
          <w:tab w:val="right" w:leader="dot" w:pos="9350"/>
        </w:tabs>
        <w:rPr>
          <w:rFonts w:asciiTheme="minorHAnsi" w:eastAsiaTheme="minorEastAsia" w:hAnsiTheme="minorHAnsi"/>
          <w:noProof/>
          <w:sz w:val="22"/>
        </w:rPr>
      </w:pPr>
      <w:r>
        <w:fldChar w:fldCharType="begin"/>
      </w:r>
      <w:r>
        <w:instrText xml:space="preserve"> TOC \o "1-2" \h \z \t "Style1Heading,1" </w:instrText>
      </w:r>
      <w:r>
        <w:fldChar w:fldCharType="separate"/>
      </w:r>
      <w:hyperlink w:anchor="_Toc37412103" w:history="1">
        <w:r w:rsidR="007C589D" w:rsidRPr="00347F07">
          <w:rPr>
            <w:rStyle w:val="Hyperlink"/>
            <w:noProof/>
          </w:rPr>
          <w:t>1.</w:t>
        </w:r>
        <w:r w:rsidR="007C589D">
          <w:rPr>
            <w:rFonts w:asciiTheme="minorHAnsi" w:eastAsiaTheme="minorEastAsia" w:hAnsiTheme="minorHAnsi"/>
            <w:noProof/>
            <w:sz w:val="22"/>
          </w:rPr>
          <w:tab/>
        </w:r>
        <w:r w:rsidR="007C589D" w:rsidRPr="00347F07">
          <w:rPr>
            <w:rStyle w:val="Hyperlink"/>
            <w:noProof/>
          </w:rPr>
          <w:t>Summary</w:t>
        </w:r>
        <w:r w:rsidR="007C589D">
          <w:rPr>
            <w:noProof/>
            <w:webHidden/>
          </w:rPr>
          <w:tab/>
        </w:r>
        <w:r w:rsidR="007C589D">
          <w:rPr>
            <w:noProof/>
            <w:webHidden/>
          </w:rPr>
          <w:fldChar w:fldCharType="begin"/>
        </w:r>
        <w:r w:rsidR="007C589D">
          <w:rPr>
            <w:noProof/>
            <w:webHidden/>
          </w:rPr>
          <w:instrText xml:space="preserve"> PAGEREF _Toc37412103 \h </w:instrText>
        </w:r>
        <w:r w:rsidR="007C589D">
          <w:rPr>
            <w:noProof/>
            <w:webHidden/>
          </w:rPr>
        </w:r>
        <w:r w:rsidR="007C589D">
          <w:rPr>
            <w:noProof/>
            <w:webHidden/>
          </w:rPr>
          <w:fldChar w:fldCharType="separate"/>
        </w:r>
        <w:r w:rsidR="007C589D">
          <w:rPr>
            <w:noProof/>
            <w:webHidden/>
          </w:rPr>
          <w:t>1</w:t>
        </w:r>
        <w:r w:rsidR="007C589D">
          <w:rPr>
            <w:noProof/>
            <w:webHidden/>
          </w:rPr>
          <w:fldChar w:fldCharType="end"/>
        </w:r>
      </w:hyperlink>
    </w:p>
    <w:p w14:paraId="296BA0A4" w14:textId="61DD146E" w:rsidR="007C589D" w:rsidRDefault="0064571D">
      <w:pPr>
        <w:pStyle w:val="TOC2"/>
        <w:tabs>
          <w:tab w:val="left" w:pos="880"/>
          <w:tab w:val="right" w:leader="dot" w:pos="9350"/>
        </w:tabs>
        <w:rPr>
          <w:rFonts w:asciiTheme="minorHAnsi" w:eastAsiaTheme="minorEastAsia" w:hAnsiTheme="minorHAnsi"/>
          <w:noProof/>
          <w:sz w:val="22"/>
        </w:rPr>
      </w:pPr>
      <w:hyperlink w:anchor="_Toc37412104" w:history="1">
        <w:r w:rsidR="007C589D" w:rsidRPr="00347F07">
          <w:rPr>
            <w:rStyle w:val="Hyperlink"/>
            <w:noProof/>
            <w14:scene3d>
              <w14:camera w14:prst="orthographicFront"/>
              <w14:lightRig w14:rig="threePt" w14:dir="t">
                <w14:rot w14:lat="0" w14:lon="0" w14:rev="0"/>
              </w14:lightRig>
            </w14:scene3d>
          </w:rPr>
          <w:t>1.1</w:t>
        </w:r>
        <w:r w:rsidR="007C589D">
          <w:rPr>
            <w:rFonts w:asciiTheme="minorHAnsi" w:eastAsiaTheme="minorEastAsia" w:hAnsiTheme="minorHAnsi"/>
            <w:noProof/>
            <w:sz w:val="22"/>
          </w:rPr>
          <w:tab/>
        </w:r>
        <w:r w:rsidR="007C589D" w:rsidRPr="00347F07">
          <w:rPr>
            <w:rStyle w:val="Hyperlink"/>
            <w:noProof/>
          </w:rPr>
          <w:t>Purpose of Report</w:t>
        </w:r>
        <w:r w:rsidR="007C589D">
          <w:rPr>
            <w:noProof/>
            <w:webHidden/>
          </w:rPr>
          <w:tab/>
        </w:r>
        <w:r w:rsidR="007C589D">
          <w:rPr>
            <w:noProof/>
            <w:webHidden/>
          </w:rPr>
          <w:fldChar w:fldCharType="begin"/>
        </w:r>
        <w:r w:rsidR="007C589D">
          <w:rPr>
            <w:noProof/>
            <w:webHidden/>
          </w:rPr>
          <w:instrText xml:space="preserve"> PAGEREF _Toc37412104 \h </w:instrText>
        </w:r>
        <w:r w:rsidR="007C589D">
          <w:rPr>
            <w:noProof/>
            <w:webHidden/>
          </w:rPr>
        </w:r>
        <w:r w:rsidR="007C589D">
          <w:rPr>
            <w:noProof/>
            <w:webHidden/>
          </w:rPr>
          <w:fldChar w:fldCharType="separate"/>
        </w:r>
        <w:r w:rsidR="007C589D">
          <w:rPr>
            <w:noProof/>
            <w:webHidden/>
          </w:rPr>
          <w:t>1</w:t>
        </w:r>
        <w:r w:rsidR="007C589D">
          <w:rPr>
            <w:noProof/>
            <w:webHidden/>
          </w:rPr>
          <w:fldChar w:fldCharType="end"/>
        </w:r>
      </w:hyperlink>
    </w:p>
    <w:p w14:paraId="20FE79B7" w14:textId="1BF7E51A" w:rsidR="007C589D" w:rsidRDefault="0064571D">
      <w:pPr>
        <w:pStyle w:val="TOC2"/>
        <w:tabs>
          <w:tab w:val="left" w:pos="880"/>
          <w:tab w:val="right" w:leader="dot" w:pos="9350"/>
        </w:tabs>
        <w:rPr>
          <w:rFonts w:asciiTheme="minorHAnsi" w:eastAsiaTheme="minorEastAsia" w:hAnsiTheme="minorHAnsi"/>
          <w:noProof/>
          <w:sz w:val="22"/>
        </w:rPr>
      </w:pPr>
      <w:hyperlink w:anchor="_Toc37412105" w:history="1">
        <w:r w:rsidR="007C589D" w:rsidRPr="00347F07">
          <w:rPr>
            <w:rStyle w:val="Hyperlink"/>
            <w:noProof/>
            <w14:scene3d>
              <w14:camera w14:prst="orthographicFront"/>
              <w14:lightRig w14:rig="threePt" w14:dir="t">
                <w14:rot w14:lat="0" w14:lon="0" w14:rev="0"/>
              </w14:lightRig>
            </w14:scene3d>
          </w:rPr>
          <w:t>1.2</w:t>
        </w:r>
        <w:r w:rsidR="007C589D">
          <w:rPr>
            <w:rFonts w:asciiTheme="minorHAnsi" w:eastAsiaTheme="minorEastAsia" w:hAnsiTheme="minorHAnsi"/>
            <w:noProof/>
            <w:sz w:val="22"/>
          </w:rPr>
          <w:tab/>
        </w:r>
        <w:r w:rsidR="007C589D" w:rsidRPr="00347F07">
          <w:rPr>
            <w:rStyle w:val="Hyperlink"/>
            <w:noProof/>
          </w:rPr>
          <w:t>Study Approach</w:t>
        </w:r>
        <w:r w:rsidR="007C589D">
          <w:rPr>
            <w:noProof/>
            <w:webHidden/>
          </w:rPr>
          <w:tab/>
        </w:r>
        <w:r w:rsidR="007C589D">
          <w:rPr>
            <w:noProof/>
            <w:webHidden/>
          </w:rPr>
          <w:fldChar w:fldCharType="begin"/>
        </w:r>
        <w:r w:rsidR="007C589D">
          <w:rPr>
            <w:noProof/>
            <w:webHidden/>
          </w:rPr>
          <w:instrText xml:space="preserve"> PAGEREF _Toc37412105 \h </w:instrText>
        </w:r>
        <w:r w:rsidR="007C589D">
          <w:rPr>
            <w:noProof/>
            <w:webHidden/>
          </w:rPr>
        </w:r>
        <w:r w:rsidR="007C589D">
          <w:rPr>
            <w:noProof/>
            <w:webHidden/>
          </w:rPr>
          <w:fldChar w:fldCharType="separate"/>
        </w:r>
        <w:r w:rsidR="007C589D">
          <w:rPr>
            <w:noProof/>
            <w:webHidden/>
          </w:rPr>
          <w:t>1</w:t>
        </w:r>
        <w:r w:rsidR="007C589D">
          <w:rPr>
            <w:noProof/>
            <w:webHidden/>
          </w:rPr>
          <w:fldChar w:fldCharType="end"/>
        </w:r>
      </w:hyperlink>
    </w:p>
    <w:p w14:paraId="5D90158E" w14:textId="029E0444" w:rsidR="007C589D" w:rsidRDefault="0064571D">
      <w:pPr>
        <w:pStyle w:val="TOC2"/>
        <w:tabs>
          <w:tab w:val="left" w:pos="880"/>
          <w:tab w:val="right" w:leader="dot" w:pos="9350"/>
        </w:tabs>
        <w:rPr>
          <w:rFonts w:asciiTheme="minorHAnsi" w:eastAsiaTheme="minorEastAsia" w:hAnsiTheme="minorHAnsi"/>
          <w:noProof/>
          <w:sz w:val="22"/>
        </w:rPr>
      </w:pPr>
      <w:hyperlink w:anchor="_Toc37412106" w:history="1">
        <w:r w:rsidR="007C589D" w:rsidRPr="00347F07">
          <w:rPr>
            <w:rStyle w:val="Hyperlink"/>
            <w:noProof/>
            <w14:scene3d>
              <w14:camera w14:prst="orthographicFront"/>
              <w14:lightRig w14:rig="threePt" w14:dir="t">
                <w14:rot w14:lat="0" w14:lon="0" w14:rev="0"/>
              </w14:lightRig>
            </w14:scene3d>
          </w:rPr>
          <w:t>1.3</w:t>
        </w:r>
        <w:r w:rsidR="007C589D">
          <w:rPr>
            <w:rFonts w:asciiTheme="minorHAnsi" w:eastAsiaTheme="minorEastAsia" w:hAnsiTheme="minorHAnsi"/>
            <w:noProof/>
            <w:sz w:val="22"/>
          </w:rPr>
          <w:tab/>
        </w:r>
        <w:r w:rsidR="007C589D" w:rsidRPr="00347F07">
          <w:rPr>
            <w:rStyle w:val="Hyperlink"/>
            <w:noProof/>
          </w:rPr>
          <w:t>Existing Conditions Overview</w:t>
        </w:r>
        <w:r w:rsidR="007C589D">
          <w:rPr>
            <w:noProof/>
            <w:webHidden/>
          </w:rPr>
          <w:tab/>
        </w:r>
        <w:r w:rsidR="007C589D">
          <w:rPr>
            <w:noProof/>
            <w:webHidden/>
          </w:rPr>
          <w:fldChar w:fldCharType="begin"/>
        </w:r>
        <w:r w:rsidR="007C589D">
          <w:rPr>
            <w:noProof/>
            <w:webHidden/>
          </w:rPr>
          <w:instrText xml:space="preserve"> PAGEREF _Toc37412106 \h </w:instrText>
        </w:r>
        <w:r w:rsidR="007C589D">
          <w:rPr>
            <w:noProof/>
            <w:webHidden/>
          </w:rPr>
        </w:r>
        <w:r w:rsidR="007C589D">
          <w:rPr>
            <w:noProof/>
            <w:webHidden/>
          </w:rPr>
          <w:fldChar w:fldCharType="separate"/>
        </w:r>
        <w:r w:rsidR="007C589D">
          <w:rPr>
            <w:noProof/>
            <w:webHidden/>
          </w:rPr>
          <w:t>1</w:t>
        </w:r>
        <w:r w:rsidR="007C589D">
          <w:rPr>
            <w:noProof/>
            <w:webHidden/>
          </w:rPr>
          <w:fldChar w:fldCharType="end"/>
        </w:r>
      </w:hyperlink>
    </w:p>
    <w:p w14:paraId="7B97CBA3" w14:textId="72F1CFD9" w:rsidR="007C589D" w:rsidRDefault="0064571D">
      <w:pPr>
        <w:pStyle w:val="TOC2"/>
        <w:tabs>
          <w:tab w:val="left" w:pos="880"/>
          <w:tab w:val="right" w:leader="dot" w:pos="9350"/>
        </w:tabs>
        <w:rPr>
          <w:rFonts w:asciiTheme="minorHAnsi" w:eastAsiaTheme="minorEastAsia" w:hAnsiTheme="minorHAnsi"/>
          <w:noProof/>
          <w:sz w:val="22"/>
        </w:rPr>
      </w:pPr>
      <w:hyperlink w:anchor="_Toc37412107" w:history="1">
        <w:r w:rsidR="007C589D" w:rsidRPr="00347F07">
          <w:rPr>
            <w:rStyle w:val="Hyperlink"/>
            <w:noProof/>
            <w14:scene3d>
              <w14:camera w14:prst="orthographicFront"/>
              <w14:lightRig w14:rig="threePt" w14:dir="t">
                <w14:rot w14:lat="0" w14:lon="0" w14:rev="0"/>
              </w14:lightRig>
            </w14:scene3d>
          </w:rPr>
          <w:t>1.4</w:t>
        </w:r>
        <w:r w:rsidR="007C589D">
          <w:rPr>
            <w:rFonts w:asciiTheme="minorHAnsi" w:eastAsiaTheme="minorEastAsia" w:hAnsiTheme="minorHAnsi"/>
            <w:noProof/>
            <w:sz w:val="22"/>
          </w:rPr>
          <w:tab/>
        </w:r>
        <w:r w:rsidR="007C589D" w:rsidRPr="00347F07">
          <w:rPr>
            <w:rStyle w:val="Hyperlink"/>
            <w:noProof/>
          </w:rPr>
          <w:t>Project Effects Overview</w:t>
        </w:r>
        <w:r w:rsidR="007C589D">
          <w:rPr>
            <w:noProof/>
            <w:webHidden/>
          </w:rPr>
          <w:tab/>
        </w:r>
        <w:r w:rsidR="007C589D">
          <w:rPr>
            <w:noProof/>
            <w:webHidden/>
          </w:rPr>
          <w:fldChar w:fldCharType="begin"/>
        </w:r>
        <w:r w:rsidR="007C589D">
          <w:rPr>
            <w:noProof/>
            <w:webHidden/>
          </w:rPr>
          <w:instrText xml:space="preserve"> PAGEREF _Toc37412107 \h </w:instrText>
        </w:r>
        <w:r w:rsidR="007C589D">
          <w:rPr>
            <w:noProof/>
            <w:webHidden/>
          </w:rPr>
        </w:r>
        <w:r w:rsidR="007C589D">
          <w:rPr>
            <w:noProof/>
            <w:webHidden/>
          </w:rPr>
          <w:fldChar w:fldCharType="separate"/>
        </w:r>
        <w:r w:rsidR="007C589D">
          <w:rPr>
            <w:noProof/>
            <w:webHidden/>
          </w:rPr>
          <w:t>2</w:t>
        </w:r>
        <w:r w:rsidR="007C589D">
          <w:rPr>
            <w:noProof/>
            <w:webHidden/>
          </w:rPr>
          <w:fldChar w:fldCharType="end"/>
        </w:r>
      </w:hyperlink>
    </w:p>
    <w:p w14:paraId="096C315E" w14:textId="6BE40F52" w:rsidR="007C589D" w:rsidRDefault="0064571D">
      <w:pPr>
        <w:pStyle w:val="TOC2"/>
        <w:tabs>
          <w:tab w:val="left" w:pos="880"/>
          <w:tab w:val="right" w:leader="dot" w:pos="9350"/>
        </w:tabs>
        <w:rPr>
          <w:rFonts w:asciiTheme="minorHAnsi" w:eastAsiaTheme="minorEastAsia" w:hAnsiTheme="minorHAnsi"/>
          <w:noProof/>
          <w:sz w:val="22"/>
        </w:rPr>
      </w:pPr>
      <w:hyperlink w:anchor="_Toc37412108" w:history="1">
        <w:r w:rsidR="007C589D" w:rsidRPr="00347F07">
          <w:rPr>
            <w:rStyle w:val="Hyperlink"/>
            <w:noProof/>
            <w14:scene3d>
              <w14:camera w14:prst="orthographicFront"/>
              <w14:lightRig w14:rig="threePt" w14:dir="t">
                <w14:rot w14:lat="0" w14:lon="0" w14:rev="0"/>
              </w14:lightRig>
            </w14:scene3d>
          </w:rPr>
          <w:t>1.5</w:t>
        </w:r>
        <w:r w:rsidR="007C589D">
          <w:rPr>
            <w:rFonts w:asciiTheme="minorHAnsi" w:eastAsiaTheme="minorEastAsia" w:hAnsiTheme="minorHAnsi"/>
            <w:noProof/>
            <w:sz w:val="22"/>
          </w:rPr>
          <w:tab/>
        </w:r>
        <w:r w:rsidR="007C589D" w:rsidRPr="00347F07">
          <w:rPr>
            <w:rStyle w:val="Hyperlink"/>
            <w:noProof/>
          </w:rPr>
          <w:t>Measures to Avoid or Minimize Effects</w:t>
        </w:r>
        <w:r w:rsidR="007C589D">
          <w:rPr>
            <w:noProof/>
            <w:webHidden/>
          </w:rPr>
          <w:tab/>
        </w:r>
        <w:r w:rsidR="007C589D">
          <w:rPr>
            <w:noProof/>
            <w:webHidden/>
          </w:rPr>
          <w:fldChar w:fldCharType="begin"/>
        </w:r>
        <w:r w:rsidR="007C589D">
          <w:rPr>
            <w:noProof/>
            <w:webHidden/>
          </w:rPr>
          <w:instrText xml:space="preserve"> PAGEREF _Toc37412108 \h </w:instrText>
        </w:r>
        <w:r w:rsidR="007C589D">
          <w:rPr>
            <w:noProof/>
            <w:webHidden/>
          </w:rPr>
        </w:r>
        <w:r w:rsidR="007C589D">
          <w:rPr>
            <w:noProof/>
            <w:webHidden/>
          </w:rPr>
          <w:fldChar w:fldCharType="separate"/>
        </w:r>
        <w:r w:rsidR="007C589D">
          <w:rPr>
            <w:noProof/>
            <w:webHidden/>
          </w:rPr>
          <w:t>5</w:t>
        </w:r>
        <w:r w:rsidR="007C589D">
          <w:rPr>
            <w:noProof/>
            <w:webHidden/>
          </w:rPr>
          <w:fldChar w:fldCharType="end"/>
        </w:r>
      </w:hyperlink>
    </w:p>
    <w:p w14:paraId="16AE8E16" w14:textId="196F9D67" w:rsidR="007C589D" w:rsidRDefault="0064571D">
      <w:pPr>
        <w:pStyle w:val="TOC1"/>
        <w:tabs>
          <w:tab w:val="left" w:pos="480"/>
          <w:tab w:val="right" w:leader="dot" w:pos="9350"/>
        </w:tabs>
        <w:rPr>
          <w:rFonts w:asciiTheme="minorHAnsi" w:eastAsiaTheme="minorEastAsia" w:hAnsiTheme="minorHAnsi"/>
          <w:noProof/>
          <w:sz w:val="22"/>
        </w:rPr>
      </w:pPr>
      <w:hyperlink w:anchor="_Toc37412109" w:history="1">
        <w:r w:rsidR="007C589D" w:rsidRPr="00347F07">
          <w:rPr>
            <w:rStyle w:val="Hyperlink"/>
            <w:noProof/>
          </w:rPr>
          <w:t>2.</w:t>
        </w:r>
        <w:r w:rsidR="007C589D">
          <w:rPr>
            <w:rFonts w:asciiTheme="minorHAnsi" w:eastAsiaTheme="minorEastAsia" w:hAnsiTheme="minorHAnsi"/>
            <w:noProof/>
            <w:sz w:val="22"/>
          </w:rPr>
          <w:tab/>
        </w:r>
        <w:r w:rsidR="007C589D" w:rsidRPr="00347F07">
          <w:rPr>
            <w:rStyle w:val="Hyperlink"/>
            <w:noProof/>
          </w:rPr>
          <w:t>Project Description</w:t>
        </w:r>
        <w:r w:rsidR="007C589D">
          <w:rPr>
            <w:noProof/>
            <w:webHidden/>
          </w:rPr>
          <w:tab/>
        </w:r>
        <w:r w:rsidR="007C589D">
          <w:rPr>
            <w:noProof/>
            <w:webHidden/>
          </w:rPr>
          <w:fldChar w:fldCharType="begin"/>
        </w:r>
        <w:r w:rsidR="007C589D">
          <w:rPr>
            <w:noProof/>
            <w:webHidden/>
          </w:rPr>
          <w:instrText xml:space="preserve"> PAGEREF _Toc37412109 \h </w:instrText>
        </w:r>
        <w:r w:rsidR="007C589D">
          <w:rPr>
            <w:noProof/>
            <w:webHidden/>
          </w:rPr>
        </w:r>
        <w:r w:rsidR="007C589D">
          <w:rPr>
            <w:noProof/>
            <w:webHidden/>
          </w:rPr>
          <w:fldChar w:fldCharType="separate"/>
        </w:r>
        <w:r w:rsidR="007C589D">
          <w:rPr>
            <w:noProof/>
            <w:webHidden/>
          </w:rPr>
          <w:t>6</w:t>
        </w:r>
        <w:r w:rsidR="007C589D">
          <w:rPr>
            <w:noProof/>
            <w:webHidden/>
          </w:rPr>
          <w:fldChar w:fldCharType="end"/>
        </w:r>
      </w:hyperlink>
    </w:p>
    <w:p w14:paraId="418D988A" w14:textId="2B7A9D27" w:rsidR="007C589D" w:rsidRDefault="0064571D">
      <w:pPr>
        <w:pStyle w:val="TOC2"/>
        <w:tabs>
          <w:tab w:val="left" w:pos="880"/>
          <w:tab w:val="right" w:leader="dot" w:pos="9350"/>
        </w:tabs>
        <w:rPr>
          <w:rFonts w:asciiTheme="minorHAnsi" w:eastAsiaTheme="minorEastAsia" w:hAnsiTheme="minorHAnsi"/>
          <w:noProof/>
          <w:sz w:val="22"/>
        </w:rPr>
      </w:pPr>
      <w:hyperlink w:anchor="_Toc37412110" w:history="1">
        <w:r w:rsidR="007C589D" w:rsidRPr="00347F07">
          <w:rPr>
            <w:rStyle w:val="Hyperlink"/>
            <w:noProof/>
            <w14:scene3d>
              <w14:camera w14:prst="orthographicFront"/>
              <w14:lightRig w14:rig="threePt" w14:dir="t">
                <w14:rot w14:lat="0" w14:lon="0" w14:rev="0"/>
              </w14:lightRig>
            </w14:scene3d>
          </w:rPr>
          <w:t>2.1</w:t>
        </w:r>
        <w:r w:rsidR="007C589D">
          <w:rPr>
            <w:rFonts w:asciiTheme="minorHAnsi" w:eastAsiaTheme="minorEastAsia" w:hAnsiTheme="minorHAnsi"/>
            <w:noProof/>
            <w:sz w:val="22"/>
          </w:rPr>
          <w:tab/>
        </w:r>
        <w:r w:rsidR="007C589D" w:rsidRPr="00347F07">
          <w:rPr>
            <w:rStyle w:val="Hyperlink"/>
            <w:noProof/>
          </w:rPr>
          <w:t>Background</w:t>
        </w:r>
        <w:r w:rsidR="007C589D">
          <w:rPr>
            <w:noProof/>
            <w:webHidden/>
          </w:rPr>
          <w:tab/>
        </w:r>
        <w:r w:rsidR="007C589D">
          <w:rPr>
            <w:noProof/>
            <w:webHidden/>
          </w:rPr>
          <w:fldChar w:fldCharType="begin"/>
        </w:r>
        <w:r w:rsidR="007C589D">
          <w:rPr>
            <w:noProof/>
            <w:webHidden/>
          </w:rPr>
          <w:instrText xml:space="preserve"> PAGEREF _Toc37412110 \h </w:instrText>
        </w:r>
        <w:r w:rsidR="007C589D">
          <w:rPr>
            <w:noProof/>
            <w:webHidden/>
          </w:rPr>
        </w:r>
        <w:r w:rsidR="007C589D">
          <w:rPr>
            <w:noProof/>
            <w:webHidden/>
          </w:rPr>
          <w:fldChar w:fldCharType="separate"/>
        </w:r>
        <w:r w:rsidR="007C589D">
          <w:rPr>
            <w:noProof/>
            <w:webHidden/>
          </w:rPr>
          <w:t>6</w:t>
        </w:r>
        <w:r w:rsidR="007C589D">
          <w:rPr>
            <w:noProof/>
            <w:webHidden/>
          </w:rPr>
          <w:fldChar w:fldCharType="end"/>
        </w:r>
      </w:hyperlink>
    </w:p>
    <w:p w14:paraId="7021C8F6" w14:textId="43084789" w:rsidR="007C589D" w:rsidRDefault="0064571D">
      <w:pPr>
        <w:pStyle w:val="TOC2"/>
        <w:tabs>
          <w:tab w:val="left" w:pos="880"/>
          <w:tab w:val="right" w:leader="dot" w:pos="9350"/>
        </w:tabs>
        <w:rPr>
          <w:rFonts w:asciiTheme="minorHAnsi" w:eastAsiaTheme="minorEastAsia" w:hAnsiTheme="minorHAnsi"/>
          <w:noProof/>
          <w:sz w:val="22"/>
        </w:rPr>
      </w:pPr>
      <w:hyperlink w:anchor="_Toc37412111" w:history="1">
        <w:r w:rsidR="007C589D" w:rsidRPr="00347F07">
          <w:rPr>
            <w:rStyle w:val="Hyperlink"/>
            <w:noProof/>
            <w14:scene3d>
              <w14:camera w14:prst="orthographicFront"/>
              <w14:lightRig w14:rig="threePt" w14:dir="t">
                <w14:rot w14:lat="0" w14:lon="0" w14:rev="0"/>
              </w14:lightRig>
            </w14:scene3d>
          </w:rPr>
          <w:t>2.2</w:t>
        </w:r>
        <w:r w:rsidR="007C589D">
          <w:rPr>
            <w:rFonts w:asciiTheme="minorHAnsi" w:eastAsiaTheme="minorEastAsia" w:hAnsiTheme="minorHAnsi"/>
            <w:noProof/>
            <w:sz w:val="22"/>
          </w:rPr>
          <w:tab/>
        </w:r>
        <w:r w:rsidR="007C589D" w:rsidRPr="00347F07">
          <w:rPr>
            <w:rStyle w:val="Hyperlink"/>
            <w:noProof/>
          </w:rPr>
          <w:t>Project Description</w:t>
        </w:r>
        <w:r w:rsidR="007C589D">
          <w:rPr>
            <w:noProof/>
            <w:webHidden/>
          </w:rPr>
          <w:tab/>
        </w:r>
        <w:r w:rsidR="007C589D">
          <w:rPr>
            <w:noProof/>
            <w:webHidden/>
          </w:rPr>
          <w:fldChar w:fldCharType="begin"/>
        </w:r>
        <w:r w:rsidR="007C589D">
          <w:rPr>
            <w:noProof/>
            <w:webHidden/>
          </w:rPr>
          <w:instrText xml:space="preserve"> PAGEREF _Toc37412111 \h </w:instrText>
        </w:r>
        <w:r w:rsidR="007C589D">
          <w:rPr>
            <w:noProof/>
            <w:webHidden/>
          </w:rPr>
        </w:r>
        <w:r w:rsidR="007C589D">
          <w:rPr>
            <w:noProof/>
            <w:webHidden/>
          </w:rPr>
          <w:fldChar w:fldCharType="separate"/>
        </w:r>
        <w:r w:rsidR="007C589D">
          <w:rPr>
            <w:noProof/>
            <w:webHidden/>
          </w:rPr>
          <w:t>6</w:t>
        </w:r>
        <w:r w:rsidR="007C589D">
          <w:rPr>
            <w:noProof/>
            <w:webHidden/>
          </w:rPr>
          <w:fldChar w:fldCharType="end"/>
        </w:r>
      </w:hyperlink>
    </w:p>
    <w:p w14:paraId="5B27759C" w14:textId="1071D70E" w:rsidR="007C589D" w:rsidRDefault="0064571D">
      <w:pPr>
        <w:pStyle w:val="TOC2"/>
        <w:tabs>
          <w:tab w:val="left" w:pos="880"/>
          <w:tab w:val="right" w:leader="dot" w:pos="9350"/>
        </w:tabs>
        <w:rPr>
          <w:rFonts w:asciiTheme="minorHAnsi" w:eastAsiaTheme="minorEastAsia" w:hAnsiTheme="minorHAnsi"/>
          <w:noProof/>
          <w:sz w:val="22"/>
        </w:rPr>
      </w:pPr>
      <w:hyperlink w:anchor="_Toc37412112" w:history="1">
        <w:r w:rsidR="007C589D" w:rsidRPr="00347F07">
          <w:rPr>
            <w:rStyle w:val="Hyperlink"/>
            <w:noProof/>
            <w14:scene3d>
              <w14:camera w14:prst="orthographicFront"/>
              <w14:lightRig w14:rig="threePt" w14:dir="t">
                <w14:rot w14:lat="0" w14:lon="0" w14:rev="0"/>
              </w14:lightRig>
            </w14:scene3d>
          </w:rPr>
          <w:t>2.3</w:t>
        </w:r>
        <w:r w:rsidR="007C589D">
          <w:rPr>
            <w:rFonts w:asciiTheme="minorHAnsi" w:eastAsiaTheme="minorEastAsia" w:hAnsiTheme="minorHAnsi"/>
            <w:noProof/>
            <w:sz w:val="22"/>
          </w:rPr>
          <w:tab/>
        </w:r>
        <w:r w:rsidR="007C589D" w:rsidRPr="00347F07">
          <w:rPr>
            <w:rStyle w:val="Hyperlink"/>
            <w:noProof/>
          </w:rPr>
          <w:t>Project Construction</w:t>
        </w:r>
        <w:r w:rsidR="007C589D">
          <w:rPr>
            <w:noProof/>
            <w:webHidden/>
          </w:rPr>
          <w:tab/>
        </w:r>
        <w:r w:rsidR="007C589D">
          <w:rPr>
            <w:noProof/>
            <w:webHidden/>
          </w:rPr>
          <w:fldChar w:fldCharType="begin"/>
        </w:r>
        <w:r w:rsidR="007C589D">
          <w:rPr>
            <w:noProof/>
            <w:webHidden/>
          </w:rPr>
          <w:instrText xml:space="preserve"> PAGEREF _Toc37412112 \h </w:instrText>
        </w:r>
        <w:r w:rsidR="007C589D">
          <w:rPr>
            <w:noProof/>
            <w:webHidden/>
          </w:rPr>
        </w:r>
        <w:r w:rsidR="007C589D">
          <w:rPr>
            <w:noProof/>
            <w:webHidden/>
          </w:rPr>
          <w:fldChar w:fldCharType="separate"/>
        </w:r>
        <w:r w:rsidR="007C589D">
          <w:rPr>
            <w:noProof/>
            <w:webHidden/>
          </w:rPr>
          <w:t>6</w:t>
        </w:r>
        <w:r w:rsidR="007C589D">
          <w:rPr>
            <w:noProof/>
            <w:webHidden/>
          </w:rPr>
          <w:fldChar w:fldCharType="end"/>
        </w:r>
      </w:hyperlink>
    </w:p>
    <w:p w14:paraId="13D7BF69" w14:textId="52FE2B88" w:rsidR="007C589D" w:rsidRDefault="0064571D">
      <w:pPr>
        <w:pStyle w:val="TOC1"/>
        <w:tabs>
          <w:tab w:val="left" w:pos="480"/>
          <w:tab w:val="right" w:leader="dot" w:pos="9350"/>
        </w:tabs>
        <w:rPr>
          <w:rFonts w:asciiTheme="minorHAnsi" w:eastAsiaTheme="minorEastAsia" w:hAnsiTheme="minorHAnsi"/>
          <w:noProof/>
          <w:sz w:val="22"/>
        </w:rPr>
      </w:pPr>
      <w:hyperlink w:anchor="_Toc37412113" w:history="1">
        <w:r w:rsidR="007C589D" w:rsidRPr="00347F07">
          <w:rPr>
            <w:rStyle w:val="Hyperlink"/>
            <w:noProof/>
          </w:rPr>
          <w:t>3.</w:t>
        </w:r>
        <w:r w:rsidR="007C589D">
          <w:rPr>
            <w:rFonts w:asciiTheme="minorHAnsi" w:eastAsiaTheme="minorEastAsia" w:hAnsiTheme="minorHAnsi"/>
            <w:noProof/>
            <w:sz w:val="22"/>
          </w:rPr>
          <w:tab/>
        </w:r>
        <w:r w:rsidR="007C589D" w:rsidRPr="00347F07">
          <w:rPr>
            <w:rStyle w:val="Hyperlink"/>
            <w:noProof/>
          </w:rPr>
          <w:t>Study Approach</w:t>
        </w:r>
        <w:r w:rsidR="007C589D">
          <w:rPr>
            <w:noProof/>
            <w:webHidden/>
          </w:rPr>
          <w:tab/>
        </w:r>
        <w:r w:rsidR="007C589D">
          <w:rPr>
            <w:noProof/>
            <w:webHidden/>
          </w:rPr>
          <w:fldChar w:fldCharType="begin"/>
        </w:r>
        <w:r w:rsidR="007C589D">
          <w:rPr>
            <w:noProof/>
            <w:webHidden/>
          </w:rPr>
          <w:instrText xml:space="preserve"> PAGEREF _Toc37412113 \h </w:instrText>
        </w:r>
        <w:r w:rsidR="007C589D">
          <w:rPr>
            <w:noProof/>
            <w:webHidden/>
          </w:rPr>
        </w:r>
        <w:r w:rsidR="007C589D">
          <w:rPr>
            <w:noProof/>
            <w:webHidden/>
          </w:rPr>
          <w:fldChar w:fldCharType="separate"/>
        </w:r>
        <w:r w:rsidR="007C589D">
          <w:rPr>
            <w:noProof/>
            <w:webHidden/>
          </w:rPr>
          <w:t>7</w:t>
        </w:r>
        <w:r w:rsidR="007C589D">
          <w:rPr>
            <w:noProof/>
            <w:webHidden/>
          </w:rPr>
          <w:fldChar w:fldCharType="end"/>
        </w:r>
      </w:hyperlink>
    </w:p>
    <w:p w14:paraId="56D6DB89" w14:textId="2DCC067B" w:rsidR="007C589D" w:rsidRDefault="0064571D">
      <w:pPr>
        <w:pStyle w:val="TOC2"/>
        <w:tabs>
          <w:tab w:val="left" w:pos="880"/>
          <w:tab w:val="right" w:leader="dot" w:pos="9350"/>
        </w:tabs>
        <w:rPr>
          <w:rFonts w:asciiTheme="minorHAnsi" w:eastAsiaTheme="minorEastAsia" w:hAnsiTheme="minorHAnsi"/>
          <w:noProof/>
          <w:sz w:val="22"/>
        </w:rPr>
      </w:pPr>
      <w:hyperlink w:anchor="_Toc37412114" w:history="1">
        <w:r w:rsidR="007C589D" w:rsidRPr="00347F07">
          <w:rPr>
            <w:rStyle w:val="Hyperlink"/>
            <w:noProof/>
            <w14:scene3d>
              <w14:camera w14:prst="orthographicFront"/>
              <w14:lightRig w14:rig="threePt" w14:dir="t">
                <w14:rot w14:lat="0" w14:lon="0" w14:rev="0"/>
              </w14:lightRig>
            </w14:scene3d>
          </w:rPr>
          <w:t>3.1</w:t>
        </w:r>
        <w:r w:rsidR="007C589D">
          <w:rPr>
            <w:rFonts w:asciiTheme="minorHAnsi" w:eastAsiaTheme="minorEastAsia" w:hAnsiTheme="minorHAnsi"/>
            <w:noProof/>
            <w:sz w:val="22"/>
          </w:rPr>
          <w:tab/>
        </w:r>
        <w:r w:rsidR="007C589D" w:rsidRPr="00347F07">
          <w:rPr>
            <w:rStyle w:val="Hyperlink"/>
            <w:noProof/>
          </w:rPr>
          <w:t>Policies and Regulations</w:t>
        </w:r>
        <w:r w:rsidR="007C589D">
          <w:rPr>
            <w:noProof/>
            <w:webHidden/>
          </w:rPr>
          <w:tab/>
        </w:r>
        <w:r w:rsidR="007C589D">
          <w:rPr>
            <w:noProof/>
            <w:webHidden/>
          </w:rPr>
          <w:fldChar w:fldCharType="begin"/>
        </w:r>
        <w:r w:rsidR="007C589D">
          <w:rPr>
            <w:noProof/>
            <w:webHidden/>
          </w:rPr>
          <w:instrText xml:space="preserve"> PAGEREF _Toc37412114 \h </w:instrText>
        </w:r>
        <w:r w:rsidR="007C589D">
          <w:rPr>
            <w:noProof/>
            <w:webHidden/>
          </w:rPr>
        </w:r>
        <w:r w:rsidR="007C589D">
          <w:rPr>
            <w:noProof/>
            <w:webHidden/>
          </w:rPr>
          <w:fldChar w:fldCharType="separate"/>
        </w:r>
        <w:r w:rsidR="007C589D">
          <w:rPr>
            <w:noProof/>
            <w:webHidden/>
          </w:rPr>
          <w:t>7</w:t>
        </w:r>
        <w:r w:rsidR="007C589D">
          <w:rPr>
            <w:noProof/>
            <w:webHidden/>
          </w:rPr>
          <w:fldChar w:fldCharType="end"/>
        </w:r>
      </w:hyperlink>
    </w:p>
    <w:p w14:paraId="0BB1000C" w14:textId="08F5F41F" w:rsidR="007C589D" w:rsidRDefault="0064571D">
      <w:pPr>
        <w:pStyle w:val="TOC2"/>
        <w:tabs>
          <w:tab w:val="left" w:pos="880"/>
          <w:tab w:val="right" w:leader="dot" w:pos="9350"/>
        </w:tabs>
        <w:rPr>
          <w:rFonts w:asciiTheme="minorHAnsi" w:eastAsiaTheme="minorEastAsia" w:hAnsiTheme="minorHAnsi"/>
          <w:noProof/>
          <w:sz w:val="22"/>
        </w:rPr>
      </w:pPr>
      <w:hyperlink w:anchor="_Toc37412115" w:history="1">
        <w:r w:rsidR="007C589D" w:rsidRPr="00347F07">
          <w:rPr>
            <w:rStyle w:val="Hyperlink"/>
            <w:noProof/>
            <w14:scene3d>
              <w14:camera w14:prst="orthographicFront"/>
              <w14:lightRig w14:rig="threePt" w14:dir="t">
                <w14:rot w14:lat="0" w14:lon="0" w14:rev="0"/>
              </w14:lightRig>
            </w14:scene3d>
          </w:rPr>
          <w:t>3.2</w:t>
        </w:r>
        <w:r w:rsidR="007C589D">
          <w:rPr>
            <w:rFonts w:asciiTheme="minorHAnsi" w:eastAsiaTheme="minorEastAsia" w:hAnsiTheme="minorHAnsi"/>
            <w:noProof/>
            <w:sz w:val="22"/>
          </w:rPr>
          <w:tab/>
        </w:r>
        <w:r w:rsidR="007C589D" w:rsidRPr="00347F07">
          <w:rPr>
            <w:rStyle w:val="Hyperlink"/>
            <w:noProof/>
          </w:rPr>
          <w:t>Study Area</w:t>
        </w:r>
        <w:r w:rsidR="007C589D">
          <w:rPr>
            <w:noProof/>
            <w:webHidden/>
          </w:rPr>
          <w:tab/>
        </w:r>
        <w:r w:rsidR="007C589D">
          <w:rPr>
            <w:noProof/>
            <w:webHidden/>
          </w:rPr>
          <w:fldChar w:fldCharType="begin"/>
        </w:r>
        <w:r w:rsidR="007C589D">
          <w:rPr>
            <w:noProof/>
            <w:webHidden/>
          </w:rPr>
          <w:instrText xml:space="preserve"> PAGEREF _Toc37412115 \h </w:instrText>
        </w:r>
        <w:r w:rsidR="007C589D">
          <w:rPr>
            <w:noProof/>
            <w:webHidden/>
          </w:rPr>
        </w:r>
        <w:r w:rsidR="007C589D">
          <w:rPr>
            <w:noProof/>
            <w:webHidden/>
          </w:rPr>
          <w:fldChar w:fldCharType="separate"/>
        </w:r>
        <w:r w:rsidR="007C589D">
          <w:rPr>
            <w:noProof/>
            <w:webHidden/>
          </w:rPr>
          <w:t>14</w:t>
        </w:r>
        <w:r w:rsidR="007C589D">
          <w:rPr>
            <w:noProof/>
            <w:webHidden/>
          </w:rPr>
          <w:fldChar w:fldCharType="end"/>
        </w:r>
      </w:hyperlink>
    </w:p>
    <w:p w14:paraId="205B87B4" w14:textId="2CB71E2C" w:rsidR="007C589D" w:rsidRDefault="0064571D">
      <w:pPr>
        <w:pStyle w:val="TOC2"/>
        <w:tabs>
          <w:tab w:val="left" w:pos="880"/>
          <w:tab w:val="right" w:leader="dot" w:pos="9350"/>
        </w:tabs>
        <w:rPr>
          <w:rFonts w:asciiTheme="minorHAnsi" w:eastAsiaTheme="minorEastAsia" w:hAnsiTheme="minorHAnsi"/>
          <w:noProof/>
          <w:sz w:val="22"/>
        </w:rPr>
      </w:pPr>
      <w:hyperlink w:anchor="_Toc37412116" w:history="1">
        <w:r w:rsidR="007C589D" w:rsidRPr="00347F07">
          <w:rPr>
            <w:rStyle w:val="Hyperlink"/>
            <w:noProof/>
            <w14:scene3d>
              <w14:camera w14:prst="orthographicFront"/>
              <w14:lightRig w14:rig="threePt" w14:dir="t">
                <w14:rot w14:lat="0" w14:lon="0" w14:rev="0"/>
              </w14:lightRig>
            </w14:scene3d>
          </w:rPr>
          <w:t>3.3</w:t>
        </w:r>
        <w:r w:rsidR="007C589D">
          <w:rPr>
            <w:rFonts w:asciiTheme="minorHAnsi" w:eastAsiaTheme="minorEastAsia" w:hAnsiTheme="minorHAnsi"/>
            <w:noProof/>
            <w:sz w:val="22"/>
          </w:rPr>
          <w:tab/>
        </w:r>
        <w:r w:rsidR="007C589D" w:rsidRPr="00347F07">
          <w:rPr>
            <w:rStyle w:val="Hyperlink"/>
            <w:noProof/>
          </w:rPr>
          <w:t>Study Approach</w:t>
        </w:r>
        <w:r w:rsidR="007C589D">
          <w:rPr>
            <w:noProof/>
            <w:webHidden/>
          </w:rPr>
          <w:tab/>
        </w:r>
        <w:r w:rsidR="007C589D">
          <w:rPr>
            <w:noProof/>
            <w:webHidden/>
          </w:rPr>
          <w:fldChar w:fldCharType="begin"/>
        </w:r>
        <w:r w:rsidR="007C589D">
          <w:rPr>
            <w:noProof/>
            <w:webHidden/>
          </w:rPr>
          <w:instrText xml:space="preserve"> PAGEREF _Toc37412116 \h </w:instrText>
        </w:r>
        <w:r w:rsidR="007C589D">
          <w:rPr>
            <w:noProof/>
            <w:webHidden/>
          </w:rPr>
        </w:r>
        <w:r w:rsidR="007C589D">
          <w:rPr>
            <w:noProof/>
            <w:webHidden/>
          </w:rPr>
          <w:fldChar w:fldCharType="separate"/>
        </w:r>
        <w:r w:rsidR="007C589D">
          <w:rPr>
            <w:noProof/>
            <w:webHidden/>
          </w:rPr>
          <w:t>14</w:t>
        </w:r>
        <w:r w:rsidR="007C589D">
          <w:rPr>
            <w:noProof/>
            <w:webHidden/>
          </w:rPr>
          <w:fldChar w:fldCharType="end"/>
        </w:r>
      </w:hyperlink>
    </w:p>
    <w:p w14:paraId="7271D8D5" w14:textId="0C177F97" w:rsidR="007C589D" w:rsidRDefault="0064571D">
      <w:pPr>
        <w:pStyle w:val="TOC1"/>
        <w:tabs>
          <w:tab w:val="left" w:pos="480"/>
          <w:tab w:val="right" w:leader="dot" w:pos="9350"/>
        </w:tabs>
        <w:rPr>
          <w:rFonts w:asciiTheme="minorHAnsi" w:eastAsiaTheme="minorEastAsia" w:hAnsiTheme="minorHAnsi"/>
          <w:noProof/>
          <w:sz w:val="22"/>
        </w:rPr>
      </w:pPr>
      <w:hyperlink w:anchor="_Toc37412117" w:history="1">
        <w:r w:rsidR="007C589D" w:rsidRPr="00347F07">
          <w:rPr>
            <w:rStyle w:val="Hyperlink"/>
            <w:noProof/>
          </w:rPr>
          <w:t>4.</w:t>
        </w:r>
        <w:r w:rsidR="007C589D">
          <w:rPr>
            <w:rFonts w:asciiTheme="minorHAnsi" w:eastAsiaTheme="minorEastAsia" w:hAnsiTheme="minorHAnsi"/>
            <w:noProof/>
            <w:sz w:val="22"/>
          </w:rPr>
          <w:tab/>
        </w:r>
        <w:r w:rsidR="007C589D" w:rsidRPr="00347F07">
          <w:rPr>
            <w:rStyle w:val="Hyperlink"/>
            <w:noProof/>
          </w:rPr>
          <w:t>Existing Conditions</w:t>
        </w:r>
        <w:r w:rsidR="007C589D">
          <w:rPr>
            <w:noProof/>
            <w:webHidden/>
          </w:rPr>
          <w:tab/>
        </w:r>
        <w:r w:rsidR="007C589D">
          <w:rPr>
            <w:noProof/>
            <w:webHidden/>
          </w:rPr>
          <w:fldChar w:fldCharType="begin"/>
        </w:r>
        <w:r w:rsidR="007C589D">
          <w:rPr>
            <w:noProof/>
            <w:webHidden/>
          </w:rPr>
          <w:instrText xml:space="preserve"> PAGEREF _Toc37412117 \h </w:instrText>
        </w:r>
        <w:r w:rsidR="007C589D">
          <w:rPr>
            <w:noProof/>
            <w:webHidden/>
          </w:rPr>
        </w:r>
        <w:r w:rsidR="007C589D">
          <w:rPr>
            <w:noProof/>
            <w:webHidden/>
          </w:rPr>
          <w:fldChar w:fldCharType="separate"/>
        </w:r>
        <w:r w:rsidR="007C589D">
          <w:rPr>
            <w:noProof/>
            <w:webHidden/>
          </w:rPr>
          <w:t>15</w:t>
        </w:r>
        <w:r w:rsidR="007C589D">
          <w:rPr>
            <w:noProof/>
            <w:webHidden/>
          </w:rPr>
          <w:fldChar w:fldCharType="end"/>
        </w:r>
      </w:hyperlink>
    </w:p>
    <w:p w14:paraId="1498586B" w14:textId="696FA989" w:rsidR="007C589D" w:rsidRDefault="0064571D">
      <w:pPr>
        <w:pStyle w:val="TOC2"/>
        <w:tabs>
          <w:tab w:val="left" w:pos="880"/>
          <w:tab w:val="right" w:leader="dot" w:pos="9350"/>
        </w:tabs>
        <w:rPr>
          <w:rFonts w:asciiTheme="minorHAnsi" w:eastAsiaTheme="minorEastAsia" w:hAnsiTheme="minorHAnsi"/>
          <w:noProof/>
          <w:sz w:val="22"/>
        </w:rPr>
      </w:pPr>
      <w:hyperlink w:anchor="_Toc37412118" w:history="1">
        <w:r w:rsidR="007C589D" w:rsidRPr="00347F07">
          <w:rPr>
            <w:rStyle w:val="Hyperlink"/>
            <w:noProof/>
            <w14:scene3d>
              <w14:camera w14:prst="orthographicFront"/>
              <w14:lightRig w14:rig="threePt" w14:dir="t">
                <w14:rot w14:lat="0" w14:lon="0" w14:rev="0"/>
              </w14:lightRig>
            </w14:scene3d>
          </w:rPr>
          <w:t>4.1</w:t>
        </w:r>
        <w:r w:rsidR="007C589D">
          <w:rPr>
            <w:rFonts w:asciiTheme="minorHAnsi" w:eastAsiaTheme="minorEastAsia" w:hAnsiTheme="minorHAnsi"/>
            <w:noProof/>
            <w:sz w:val="22"/>
          </w:rPr>
          <w:tab/>
        </w:r>
        <w:r w:rsidR="007C589D" w:rsidRPr="00347F07">
          <w:rPr>
            <w:rStyle w:val="Hyperlink"/>
            <w:noProof/>
          </w:rPr>
          <w:t>Criteria Pollutants</w:t>
        </w:r>
        <w:r w:rsidR="007C589D">
          <w:rPr>
            <w:noProof/>
            <w:webHidden/>
          </w:rPr>
          <w:tab/>
        </w:r>
        <w:r w:rsidR="007C589D">
          <w:rPr>
            <w:noProof/>
            <w:webHidden/>
          </w:rPr>
          <w:fldChar w:fldCharType="begin"/>
        </w:r>
        <w:r w:rsidR="007C589D">
          <w:rPr>
            <w:noProof/>
            <w:webHidden/>
          </w:rPr>
          <w:instrText xml:space="preserve"> PAGEREF _Toc37412118 \h </w:instrText>
        </w:r>
        <w:r w:rsidR="007C589D">
          <w:rPr>
            <w:noProof/>
            <w:webHidden/>
          </w:rPr>
        </w:r>
        <w:r w:rsidR="007C589D">
          <w:rPr>
            <w:noProof/>
            <w:webHidden/>
          </w:rPr>
          <w:fldChar w:fldCharType="separate"/>
        </w:r>
        <w:r w:rsidR="007C589D">
          <w:rPr>
            <w:noProof/>
            <w:webHidden/>
          </w:rPr>
          <w:t>15</w:t>
        </w:r>
        <w:r w:rsidR="007C589D">
          <w:rPr>
            <w:noProof/>
            <w:webHidden/>
          </w:rPr>
          <w:fldChar w:fldCharType="end"/>
        </w:r>
      </w:hyperlink>
    </w:p>
    <w:p w14:paraId="3384D039" w14:textId="135B82C7" w:rsidR="007C589D" w:rsidRDefault="0064571D">
      <w:pPr>
        <w:pStyle w:val="TOC2"/>
        <w:tabs>
          <w:tab w:val="left" w:pos="880"/>
          <w:tab w:val="right" w:leader="dot" w:pos="9350"/>
        </w:tabs>
        <w:rPr>
          <w:rFonts w:asciiTheme="minorHAnsi" w:eastAsiaTheme="minorEastAsia" w:hAnsiTheme="minorHAnsi"/>
          <w:noProof/>
          <w:sz w:val="22"/>
        </w:rPr>
      </w:pPr>
      <w:hyperlink w:anchor="_Toc37412119" w:history="1">
        <w:r w:rsidR="007C589D" w:rsidRPr="00347F07">
          <w:rPr>
            <w:rStyle w:val="Hyperlink"/>
            <w:noProof/>
            <w14:scene3d>
              <w14:camera w14:prst="orthographicFront"/>
              <w14:lightRig w14:rig="threePt" w14:dir="t">
                <w14:rot w14:lat="0" w14:lon="0" w14:rev="0"/>
              </w14:lightRig>
            </w14:scene3d>
          </w:rPr>
          <w:t>4.2</w:t>
        </w:r>
        <w:r w:rsidR="007C589D">
          <w:rPr>
            <w:rFonts w:asciiTheme="minorHAnsi" w:eastAsiaTheme="minorEastAsia" w:hAnsiTheme="minorHAnsi"/>
            <w:noProof/>
            <w:sz w:val="22"/>
          </w:rPr>
          <w:tab/>
        </w:r>
        <w:r w:rsidR="007C589D" w:rsidRPr="00347F07">
          <w:rPr>
            <w:rStyle w:val="Hyperlink"/>
            <w:noProof/>
          </w:rPr>
          <w:t>MSATs</w:t>
        </w:r>
        <w:r w:rsidR="007C589D">
          <w:rPr>
            <w:noProof/>
            <w:webHidden/>
          </w:rPr>
          <w:tab/>
        </w:r>
        <w:r w:rsidR="007C589D">
          <w:rPr>
            <w:noProof/>
            <w:webHidden/>
          </w:rPr>
          <w:fldChar w:fldCharType="begin"/>
        </w:r>
        <w:r w:rsidR="007C589D">
          <w:rPr>
            <w:noProof/>
            <w:webHidden/>
          </w:rPr>
          <w:instrText xml:space="preserve"> PAGEREF _Toc37412119 \h </w:instrText>
        </w:r>
        <w:r w:rsidR="007C589D">
          <w:rPr>
            <w:noProof/>
            <w:webHidden/>
          </w:rPr>
        </w:r>
        <w:r w:rsidR="007C589D">
          <w:rPr>
            <w:noProof/>
            <w:webHidden/>
          </w:rPr>
          <w:fldChar w:fldCharType="separate"/>
        </w:r>
        <w:r w:rsidR="007C589D">
          <w:rPr>
            <w:noProof/>
            <w:webHidden/>
          </w:rPr>
          <w:t>16</w:t>
        </w:r>
        <w:r w:rsidR="007C589D">
          <w:rPr>
            <w:noProof/>
            <w:webHidden/>
          </w:rPr>
          <w:fldChar w:fldCharType="end"/>
        </w:r>
      </w:hyperlink>
    </w:p>
    <w:p w14:paraId="0934DBE6" w14:textId="0521F9E4" w:rsidR="007C589D" w:rsidRDefault="0064571D">
      <w:pPr>
        <w:pStyle w:val="TOC2"/>
        <w:tabs>
          <w:tab w:val="left" w:pos="880"/>
          <w:tab w:val="right" w:leader="dot" w:pos="9350"/>
        </w:tabs>
        <w:rPr>
          <w:rFonts w:asciiTheme="minorHAnsi" w:eastAsiaTheme="minorEastAsia" w:hAnsiTheme="minorHAnsi"/>
          <w:noProof/>
          <w:sz w:val="22"/>
        </w:rPr>
      </w:pPr>
      <w:hyperlink w:anchor="_Toc37412120" w:history="1">
        <w:r w:rsidR="007C589D" w:rsidRPr="00347F07">
          <w:rPr>
            <w:rStyle w:val="Hyperlink"/>
            <w:noProof/>
            <w14:scene3d>
              <w14:camera w14:prst="orthographicFront"/>
              <w14:lightRig w14:rig="threePt" w14:dir="t">
                <w14:rot w14:lat="0" w14:lon="0" w14:rev="0"/>
              </w14:lightRig>
            </w14:scene3d>
          </w:rPr>
          <w:t>4.3</w:t>
        </w:r>
        <w:r w:rsidR="007C589D">
          <w:rPr>
            <w:rFonts w:asciiTheme="minorHAnsi" w:eastAsiaTheme="minorEastAsia" w:hAnsiTheme="minorHAnsi"/>
            <w:noProof/>
            <w:sz w:val="22"/>
          </w:rPr>
          <w:tab/>
        </w:r>
        <w:r w:rsidR="007C589D" w:rsidRPr="00347F07">
          <w:rPr>
            <w:rStyle w:val="Hyperlink"/>
            <w:noProof/>
          </w:rPr>
          <w:t>Greenhouse Gases</w:t>
        </w:r>
        <w:r w:rsidR="007C589D">
          <w:rPr>
            <w:noProof/>
            <w:webHidden/>
          </w:rPr>
          <w:tab/>
        </w:r>
        <w:r w:rsidR="007C589D">
          <w:rPr>
            <w:noProof/>
            <w:webHidden/>
          </w:rPr>
          <w:fldChar w:fldCharType="begin"/>
        </w:r>
        <w:r w:rsidR="007C589D">
          <w:rPr>
            <w:noProof/>
            <w:webHidden/>
          </w:rPr>
          <w:instrText xml:space="preserve"> PAGEREF _Toc37412120 \h </w:instrText>
        </w:r>
        <w:r w:rsidR="007C589D">
          <w:rPr>
            <w:noProof/>
            <w:webHidden/>
          </w:rPr>
        </w:r>
        <w:r w:rsidR="007C589D">
          <w:rPr>
            <w:noProof/>
            <w:webHidden/>
          </w:rPr>
          <w:fldChar w:fldCharType="separate"/>
        </w:r>
        <w:r w:rsidR="007C589D">
          <w:rPr>
            <w:noProof/>
            <w:webHidden/>
          </w:rPr>
          <w:t>19</w:t>
        </w:r>
        <w:r w:rsidR="007C589D">
          <w:rPr>
            <w:noProof/>
            <w:webHidden/>
          </w:rPr>
          <w:fldChar w:fldCharType="end"/>
        </w:r>
      </w:hyperlink>
    </w:p>
    <w:p w14:paraId="4BE4BB14" w14:textId="0EAD0426" w:rsidR="007C589D" w:rsidRDefault="0064571D">
      <w:pPr>
        <w:pStyle w:val="TOC2"/>
        <w:tabs>
          <w:tab w:val="left" w:pos="880"/>
          <w:tab w:val="right" w:leader="dot" w:pos="9350"/>
        </w:tabs>
        <w:rPr>
          <w:rFonts w:asciiTheme="minorHAnsi" w:eastAsiaTheme="minorEastAsia" w:hAnsiTheme="minorHAnsi"/>
          <w:noProof/>
          <w:sz w:val="22"/>
        </w:rPr>
      </w:pPr>
      <w:hyperlink w:anchor="_Toc37412121" w:history="1">
        <w:r w:rsidR="007C589D" w:rsidRPr="00347F07">
          <w:rPr>
            <w:rStyle w:val="Hyperlink"/>
            <w:noProof/>
            <w14:scene3d>
              <w14:camera w14:prst="orthographicFront"/>
              <w14:lightRig w14:rig="threePt" w14:dir="t">
                <w14:rot w14:lat="0" w14:lon="0" w14:rev="0"/>
              </w14:lightRig>
            </w14:scene3d>
          </w:rPr>
          <w:t>4.4</w:t>
        </w:r>
        <w:r w:rsidR="007C589D">
          <w:rPr>
            <w:rFonts w:asciiTheme="minorHAnsi" w:eastAsiaTheme="minorEastAsia" w:hAnsiTheme="minorHAnsi"/>
            <w:noProof/>
            <w:sz w:val="22"/>
          </w:rPr>
          <w:tab/>
        </w:r>
        <w:r w:rsidR="007C589D" w:rsidRPr="00347F07">
          <w:rPr>
            <w:rStyle w:val="Hyperlink"/>
            <w:noProof/>
          </w:rPr>
          <w:t>Energy Use</w:t>
        </w:r>
        <w:r w:rsidR="007C589D">
          <w:rPr>
            <w:noProof/>
            <w:webHidden/>
          </w:rPr>
          <w:tab/>
        </w:r>
        <w:r w:rsidR="007C589D">
          <w:rPr>
            <w:noProof/>
            <w:webHidden/>
          </w:rPr>
          <w:fldChar w:fldCharType="begin"/>
        </w:r>
        <w:r w:rsidR="007C589D">
          <w:rPr>
            <w:noProof/>
            <w:webHidden/>
          </w:rPr>
          <w:instrText xml:space="preserve"> PAGEREF _Toc37412121 \h </w:instrText>
        </w:r>
        <w:r w:rsidR="007C589D">
          <w:rPr>
            <w:noProof/>
            <w:webHidden/>
          </w:rPr>
        </w:r>
        <w:r w:rsidR="007C589D">
          <w:rPr>
            <w:noProof/>
            <w:webHidden/>
          </w:rPr>
          <w:fldChar w:fldCharType="separate"/>
        </w:r>
        <w:r w:rsidR="007C589D">
          <w:rPr>
            <w:noProof/>
            <w:webHidden/>
          </w:rPr>
          <w:t>20</w:t>
        </w:r>
        <w:r w:rsidR="007C589D">
          <w:rPr>
            <w:noProof/>
            <w:webHidden/>
          </w:rPr>
          <w:fldChar w:fldCharType="end"/>
        </w:r>
      </w:hyperlink>
    </w:p>
    <w:p w14:paraId="20E9D4C5" w14:textId="323D14E9" w:rsidR="007C589D" w:rsidRDefault="0064571D">
      <w:pPr>
        <w:pStyle w:val="TOC2"/>
        <w:tabs>
          <w:tab w:val="left" w:pos="880"/>
          <w:tab w:val="right" w:leader="dot" w:pos="9350"/>
        </w:tabs>
        <w:rPr>
          <w:rFonts w:asciiTheme="minorHAnsi" w:eastAsiaTheme="minorEastAsia" w:hAnsiTheme="minorHAnsi"/>
          <w:noProof/>
          <w:sz w:val="22"/>
        </w:rPr>
      </w:pPr>
      <w:hyperlink w:anchor="_Toc37412122" w:history="1">
        <w:r w:rsidR="007C589D" w:rsidRPr="00347F07">
          <w:rPr>
            <w:rStyle w:val="Hyperlink"/>
            <w:noProof/>
            <w14:scene3d>
              <w14:camera w14:prst="orthographicFront"/>
              <w14:lightRig w14:rig="threePt" w14:dir="t">
                <w14:rot w14:lat="0" w14:lon="0" w14:rev="0"/>
              </w14:lightRig>
            </w14:scene3d>
          </w:rPr>
          <w:t>4.5</w:t>
        </w:r>
        <w:r w:rsidR="007C589D">
          <w:rPr>
            <w:rFonts w:asciiTheme="minorHAnsi" w:eastAsiaTheme="minorEastAsia" w:hAnsiTheme="minorHAnsi"/>
            <w:noProof/>
            <w:sz w:val="22"/>
          </w:rPr>
          <w:tab/>
        </w:r>
        <w:r w:rsidR="007C589D" w:rsidRPr="00347F07">
          <w:rPr>
            <w:rStyle w:val="Hyperlink"/>
            <w:noProof/>
          </w:rPr>
          <w:t>Efforts to Reduce Energy Use and Greenhouse Gas Emissions</w:t>
        </w:r>
        <w:r w:rsidR="007C589D">
          <w:rPr>
            <w:noProof/>
            <w:webHidden/>
          </w:rPr>
          <w:tab/>
        </w:r>
        <w:r w:rsidR="007C589D">
          <w:rPr>
            <w:noProof/>
            <w:webHidden/>
          </w:rPr>
          <w:fldChar w:fldCharType="begin"/>
        </w:r>
        <w:r w:rsidR="007C589D">
          <w:rPr>
            <w:noProof/>
            <w:webHidden/>
          </w:rPr>
          <w:instrText xml:space="preserve"> PAGEREF _Toc37412122 \h </w:instrText>
        </w:r>
        <w:r w:rsidR="007C589D">
          <w:rPr>
            <w:noProof/>
            <w:webHidden/>
          </w:rPr>
        </w:r>
        <w:r w:rsidR="007C589D">
          <w:rPr>
            <w:noProof/>
            <w:webHidden/>
          </w:rPr>
          <w:fldChar w:fldCharType="separate"/>
        </w:r>
        <w:r w:rsidR="007C589D">
          <w:rPr>
            <w:noProof/>
            <w:webHidden/>
          </w:rPr>
          <w:t>21</w:t>
        </w:r>
        <w:r w:rsidR="007C589D">
          <w:rPr>
            <w:noProof/>
            <w:webHidden/>
          </w:rPr>
          <w:fldChar w:fldCharType="end"/>
        </w:r>
      </w:hyperlink>
    </w:p>
    <w:p w14:paraId="45944FA0" w14:textId="29F31F71" w:rsidR="007C589D" w:rsidRDefault="0064571D">
      <w:pPr>
        <w:pStyle w:val="TOC1"/>
        <w:tabs>
          <w:tab w:val="left" w:pos="480"/>
          <w:tab w:val="right" w:leader="dot" w:pos="9350"/>
        </w:tabs>
        <w:rPr>
          <w:rFonts w:asciiTheme="minorHAnsi" w:eastAsiaTheme="minorEastAsia" w:hAnsiTheme="minorHAnsi"/>
          <w:noProof/>
          <w:sz w:val="22"/>
        </w:rPr>
      </w:pPr>
      <w:hyperlink w:anchor="_Toc37412123" w:history="1">
        <w:r w:rsidR="007C589D" w:rsidRPr="00347F07">
          <w:rPr>
            <w:rStyle w:val="Hyperlink"/>
            <w:noProof/>
          </w:rPr>
          <w:t>5.</w:t>
        </w:r>
        <w:r w:rsidR="007C589D">
          <w:rPr>
            <w:rFonts w:asciiTheme="minorHAnsi" w:eastAsiaTheme="minorEastAsia" w:hAnsiTheme="minorHAnsi"/>
            <w:noProof/>
            <w:sz w:val="22"/>
          </w:rPr>
          <w:tab/>
        </w:r>
        <w:r w:rsidR="007C589D" w:rsidRPr="00347F07">
          <w:rPr>
            <w:rStyle w:val="Hyperlink"/>
            <w:noProof/>
          </w:rPr>
          <w:t>Project Effects</w:t>
        </w:r>
        <w:r w:rsidR="007C589D">
          <w:rPr>
            <w:noProof/>
            <w:webHidden/>
          </w:rPr>
          <w:tab/>
        </w:r>
        <w:r w:rsidR="007C589D">
          <w:rPr>
            <w:noProof/>
            <w:webHidden/>
          </w:rPr>
          <w:fldChar w:fldCharType="begin"/>
        </w:r>
        <w:r w:rsidR="007C589D">
          <w:rPr>
            <w:noProof/>
            <w:webHidden/>
          </w:rPr>
          <w:instrText xml:space="preserve"> PAGEREF _Toc37412123 \h </w:instrText>
        </w:r>
        <w:r w:rsidR="007C589D">
          <w:rPr>
            <w:noProof/>
            <w:webHidden/>
          </w:rPr>
        </w:r>
        <w:r w:rsidR="007C589D">
          <w:rPr>
            <w:noProof/>
            <w:webHidden/>
          </w:rPr>
          <w:fldChar w:fldCharType="separate"/>
        </w:r>
        <w:r w:rsidR="007C589D">
          <w:rPr>
            <w:noProof/>
            <w:webHidden/>
          </w:rPr>
          <w:t>21</w:t>
        </w:r>
        <w:r w:rsidR="007C589D">
          <w:rPr>
            <w:noProof/>
            <w:webHidden/>
          </w:rPr>
          <w:fldChar w:fldCharType="end"/>
        </w:r>
      </w:hyperlink>
    </w:p>
    <w:p w14:paraId="65BF8098" w14:textId="7892BF14" w:rsidR="007C589D" w:rsidRDefault="0064571D">
      <w:pPr>
        <w:pStyle w:val="TOC2"/>
        <w:tabs>
          <w:tab w:val="left" w:pos="880"/>
          <w:tab w:val="right" w:leader="dot" w:pos="9350"/>
        </w:tabs>
        <w:rPr>
          <w:rFonts w:asciiTheme="minorHAnsi" w:eastAsiaTheme="minorEastAsia" w:hAnsiTheme="minorHAnsi"/>
          <w:noProof/>
          <w:sz w:val="22"/>
        </w:rPr>
      </w:pPr>
      <w:hyperlink w:anchor="_Toc37412124" w:history="1">
        <w:r w:rsidR="007C589D" w:rsidRPr="00347F07">
          <w:rPr>
            <w:rStyle w:val="Hyperlink"/>
            <w:noProof/>
            <w14:scene3d>
              <w14:camera w14:prst="orthographicFront"/>
              <w14:lightRig w14:rig="threePt" w14:dir="t">
                <w14:rot w14:lat="0" w14:lon="0" w14:rev="0"/>
              </w14:lightRig>
            </w14:scene3d>
          </w:rPr>
          <w:t>5.1</w:t>
        </w:r>
        <w:r w:rsidR="007C589D">
          <w:rPr>
            <w:rFonts w:asciiTheme="minorHAnsi" w:eastAsiaTheme="minorEastAsia" w:hAnsiTheme="minorHAnsi"/>
            <w:noProof/>
            <w:sz w:val="22"/>
          </w:rPr>
          <w:tab/>
        </w:r>
        <w:r w:rsidR="007C589D" w:rsidRPr="00347F07">
          <w:rPr>
            <w:rStyle w:val="Hyperlink"/>
            <w:noProof/>
          </w:rPr>
          <w:t>Operational Effects</w:t>
        </w:r>
        <w:r w:rsidR="007C589D">
          <w:rPr>
            <w:noProof/>
            <w:webHidden/>
          </w:rPr>
          <w:tab/>
        </w:r>
        <w:r w:rsidR="007C589D">
          <w:rPr>
            <w:noProof/>
            <w:webHidden/>
          </w:rPr>
          <w:fldChar w:fldCharType="begin"/>
        </w:r>
        <w:r w:rsidR="007C589D">
          <w:rPr>
            <w:noProof/>
            <w:webHidden/>
          </w:rPr>
          <w:instrText xml:space="preserve"> PAGEREF _Toc37412124 \h </w:instrText>
        </w:r>
        <w:r w:rsidR="007C589D">
          <w:rPr>
            <w:noProof/>
            <w:webHidden/>
          </w:rPr>
        </w:r>
        <w:r w:rsidR="007C589D">
          <w:rPr>
            <w:noProof/>
            <w:webHidden/>
          </w:rPr>
          <w:fldChar w:fldCharType="separate"/>
        </w:r>
        <w:r w:rsidR="007C589D">
          <w:rPr>
            <w:noProof/>
            <w:webHidden/>
          </w:rPr>
          <w:t>21</w:t>
        </w:r>
        <w:r w:rsidR="007C589D">
          <w:rPr>
            <w:noProof/>
            <w:webHidden/>
          </w:rPr>
          <w:fldChar w:fldCharType="end"/>
        </w:r>
      </w:hyperlink>
    </w:p>
    <w:p w14:paraId="7EB52E64" w14:textId="2DF4E56B" w:rsidR="007C589D" w:rsidRDefault="0064571D">
      <w:pPr>
        <w:pStyle w:val="TOC2"/>
        <w:tabs>
          <w:tab w:val="left" w:pos="880"/>
          <w:tab w:val="right" w:leader="dot" w:pos="9350"/>
        </w:tabs>
        <w:rPr>
          <w:rFonts w:asciiTheme="minorHAnsi" w:eastAsiaTheme="minorEastAsia" w:hAnsiTheme="minorHAnsi"/>
          <w:noProof/>
          <w:sz w:val="22"/>
        </w:rPr>
      </w:pPr>
      <w:hyperlink w:anchor="_Toc37412125" w:history="1">
        <w:r w:rsidR="007C589D" w:rsidRPr="00347F07">
          <w:rPr>
            <w:rStyle w:val="Hyperlink"/>
            <w:noProof/>
            <w14:scene3d>
              <w14:camera w14:prst="orthographicFront"/>
              <w14:lightRig w14:rig="threePt" w14:dir="t">
                <w14:rot w14:lat="0" w14:lon="0" w14:rev="0"/>
              </w14:lightRig>
            </w14:scene3d>
          </w:rPr>
          <w:t>5.2</w:t>
        </w:r>
        <w:r w:rsidR="007C589D">
          <w:rPr>
            <w:rFonts w:asciiTheme="minorHAnsi" w:eastAsiaTheme="minorEastAsia" w:hAnsiTheme="minorHAnsi"/>
            <w:noProof/>
            <w:sz w:val="22"/>
          </w:rPr>
          <w:tab/>
        </w:r>
        <w:r w:rsidR="007C589D" w:rsidRPr="00347F07">
          <w:rPr>
            <w:rStyle w:val="Hyperlink"/>
            <w:noProof/>
          </w:rPr>
          <w:t>Operational Effects</w:t>
        </w:r>
        <w:r w:rsidR="007C589D">
          <w:rPr>
            <w:noProof/>
            <w:webHidden/>
          </w:rPr>
          <w:tab/>
        </w:r>
        <w:r w:rsidR="007C589D">
          <w:rPr>
            <w:noProof/>
            <w:webHidden/>
          </w:rPr>
          <w:fldChar w:fldCharType="begin"/>
        </w:r>
        <w:r w:rsidR="007C589D">
          <w:rPr>
            <w:noProof/>
            <w:webHidden/>
          </w:rPr>
          <w:instrText xml:space="preserve"> PAGEREF _Toc37412125 \h </w:instrText>
        </w:r>
        <w:r w:rsidR="007C589D">
          <w:rPr>
            <w:noProof/>
            <w:webHidden/>
          </w:rPr>
        </w:r>
        <w:r w:rsidR="007C589D">
          <w:rPr>
            <w:noProof/>
            <w:webHidden/>
          </w:rPr>
          <w:fldChar w:fldCharType="separate"/>
        </w:r>
        <w:r w:rsidR="007C589D">
          <w:rPr>
            <w:noProof/>
            <w:webHidden/>
          </w:rPr>
          <w:t>21</w:t>
        </w:r>
        <w:r w:rsidR="007C589D">
          <w:rPr>
            <w:noProof/>
            <w:webHidden/>
          </w:rPr>
          <w:fldChar w:fldCharType="end"/>
        </w:r>
      </w:hyperlink>
    </w:p>
    <w:p w14:paraId="07C1B71B" w14:textId="33D3972E" w:rsidR="007C589D" w:rsidRDefault="0064571D">
      <w:pPr>
        <w:pStyle w:val="TOC2"/>
        <w:tabs>
          <w:tab w:val="left" w:pos="880"/>
          <w:tab w:val="right" w:leader="dot" w:pos="9350"/>
        </w:tabs>
        <w:rPr>
          <w:rFonts w:asciiTheme="minorHAnsi" w:eastAsiaTheme="minorEastAsia" w:hAnsiTheme="minorHAnsi"/>
          <w:noProof/>
          <w:sz w:val="22"/>
        </w:rPr>
      </w:pPr>
      <w:hyperlink w:anchor="_Toc37412126" w:history="1">
        <w:r w:rsidR="007C589D" w:rsidRPr="00347F07">
          <w:rPr>
            <w:rStyle w:val="Hyperlink"/>
            <w:noProof/>
            <w14:scene3d>
              <w14:camera w14:prst="orthographicFront"/>
              <w14:lightRig w14:rig="threePt" w14:dir="t">
                <w14:rot w14:lat="0" w14:lon="0" w14:rev="0"/>
              </w14:lightRig>
            </w14:scene3d>
          </w:rPr>
          <w:t>5.3</w:t>
        </w:r>
        <w:r w:rsidR="007C589D">
          <w:rPr>
            <w:rFonts w:asciiTheme="minorHAnsi" w:eastAsiaTheme="minorEastAsia" w:hAnsiTheme="minorHAnsi"/>
            <w:noProof/>
            <w:sz w:val="22"/>
          </w:rPr>
          <w:tab/>
        </w:r>
        <w:r w:rsidR="007C589D" w:rsidRPr="00347F07">
          <w:rPr>
            <w:rStyle w:val="Hyperlink"/>
            <w:noProof/>
          </w:rPr>
          <w:t>Construction Effects</w:t>
        </w:r>
        <w:r w:rsidR="007C589D">
          <w:rPr>
            <w:noProof/>
            <w:webHidden/>
          </w:rPr>
          <w:tab/>
        </w:r>
        <w:r w:rsidR="007C589D">
          <w:rPr>
            <w:noProof/>
            <w:webHidden/>
          </w:rPr>
          <w:fldChar w:fldCharType="begin"/>
        </w:r>
        <w:r w:rsidR="007C589D">
          <w:rPr>
            <w:noProof/>
            <w:webHidden/>
          </w:rPr>
          <w:instrText xml:space="preserve"> PAGEREF _Toc37412126 \h </w:instrText>
        </w:r>
        <w:r w:rsidR="007C589D">
          <w:rPr>
            <w:noProof/>
            <w:webHidden/>
          </w:rPr>
        </w:r>
        <w:r w:rsidR="007C589D">
          <w:rPr>
            <w:noProof/>
            <w:webHidden/>
          </w:rPr>
          <w:fldChar w:fldCharType="separate"/>
        </w:r>
        <w:r w:rsidR="007C589D">
          <w:rPr>
            <w:noProof/>
            <w:webHidden/>
          </w:rPr>
          <w:t>27</w:t>
        </w:r>
        <w:r w:rsidR="007C589D">
          <w:rPr>
            <w:noProof/>
            <w:webHidden/>
          </w:rPr>
          <w:fldChar w:fldCharType="end"/>
        </w:r>
      </w:hyperlink>
    </w:p>
    <w:p w14:paraId="2D9A3531" w14:textId="2434B19B" w:rsidR="007C589D" w:rsidRDefault="0064571D">
      <w:pPr>
        <w:pStyle w:val="TOC2"/>
        <w:tabs>
          <w:tab w:val="left" w:pos="880"/>
          <w:tab w:val="right" w:leader="dot" w:pos="9350"/>
        </w:tabs>
        <w:rPr>
          <w:rFonts w:asciiTheme="minorHAnsi" w:eastAsiaTheme="minorEastAsia" w:hAnsiTheme="minorHAnsi"/>
          <w:noProof/>
          <w:sz w:val="22"/>
        </w:rPr>
      </w:pPr>
      <w:hyperlink w:anchor="_Toc37412127" w:history="1">
        <w:r w:rsidR="007C589D" w:rsidRPr="00347F07">
          <w:rPr>
            <w:rStyle w:val="Hyperlink"/>
            <w:noProof/>
            <w14:scene3d>
              <w14:camera w14:prst="orthographicFront"/>
              <w14:lightRig w14:rig="threePt" w14:dir="t">
                <w14:rot w14:lat="0" w14:lon="0" w14:rev="0"/>
              </w14:lightRig>
            </w14:scene3d>
          </w:rPr>
          <w:t>5.4</w:t>
        </w:r>
        <w:r w:rsidR="007C589D">
          <w:rPr>
            <w:rFonts w:asciiTheme="minorHAnsi" w:eastAsiaTheme="minorEastAsia" w:hAnsiTheme="minorHAnsi"/>
            <w:noProof/>
            <w:sz w:val="22"/>
          </w:rPr>
          <w:tab/>
        </w:r>
        <w:r w:rsidR="007C589D" w:rsidRPr="00347F07">
          <w:rPr>
            <w:rStyle w:val="Hyperlink"/>
            <w:noProof/>
          </w:rPr>
          <w:t>Indirect Effects</w:t>
        </w:r>
        <w:r w:rsidR="007C589D">
          <w:rPr>
            <w:noProof/>
            <w:webHidden/>
          </w:rPr>
          <w:tab/>
        </w:r>
        <w:r w:rsidR="007C589D">
          <w:rPr>
            <w:noProof/>
            <w:webHidden/>
          </w:rPr>
          <w:fldChar w:fldCharType="begin"/>
        </w:r>
        <w:r w:rsidR="007C589D">
          <w:rPr>
            <w:noProof/>
            <w:webHidden/>
          </w:rPr>
          <w:instrText xml:space="preserve"> PAGEREF _Toc37412127 \h </w:instrText>
        </w:r>
        <w:r w:rsidR="007C589D">
          <w:rPr>
            <w:noProof/>
            <w:webHidden/>
          </w:rPr>
        </w:r>
        <w:r w:rsidR="007C589D">
          <w:rPr>
            <w:noProof/>
            <w:webHidden/>
          </w:rPr>
          <w:fldChar w:fldCharType="separate"/>
        </w:r>
        <w:r w:rsidR="007C589D">
          <w:rPr>
            <w:noProof/>
            <w:webHidden/>
          </w:rPr>
          <w:t>28</w:t>
        </w:r>
        <w:r w:rsidR="007C589D">
          <w:rPr>
            <w:noProof/>
            <w:webHidden/>
          </w:rPr>
          <w:fldChar w:fldCharType="end"/>
        </w:r>
      </w:hyperlink>
    </w:p>
    <w:p w14:paraId="0FF75CFD" w14:textId="4FDFAEE6" w:rsidR="007C589D" w:rsidRDefault="0064571D">
      <w:pPr>
        <w:pStyle w:val="TOC1"/>
        <w:tabs>
          <w:tab w:val="left" w:pos="480"/>
          <w:tab w:val="right" w:leader="dot" w:pos="9350"/>
        </w:tabs>
        <w:rPr>
          <w:rFonts w:asciiTheme="minorHAnsi" w:eastAsiaTheme="minorEastAsia" w:hAnsiTheme="minorHAnsi"/>
          <w:noProof/>
          <w:sz w:val="22"/>
        </w:rPr>
      </w:pPr>
      <w:hyperlink w:anchor="_Toc37412128" w:history="1">
        <w:r w:rsidR="007C589D" w:rsidRPr="00347F07">
          <w:rPr>
            <w:rStyle w:val="Hyperlink"/>
            <w:noProof/>
          </w:rPr>
          <w:t>6.</w:t>
        </w:r>
        <w:r w:rsidR="007C589D">
          <w:rPr>
            <w:rFonts w:asciiTheme="minorHAnsi" w:eastAsiaTheme="minorEastAsia" w:hAnsiTheme="minorHAnsi"/>
            <w:noProof/>
            <w:sz w:val="22"/>
          </w:rPr>
          <w:tab/>
        </w:r>
        <w:r w:rsidR="007C589D" w:rsidRPr="00347F07">
          <w:rPr>
            <w:rStyle w:val="Hyperlink"/>
            <w:noProof/>
          </w:rPr>
          <w:t>Measures to Avoid or Minimize Effects</w:t>
        </w:r>
        <w:r w:rsidR="007C589D">
          <w:rPr>
            <w:noProof/>
            <w:webHidden/>
          </w:rPr>
          <w:tab/>
        </w:r>
        <w:r w:rsidR="007C589D">
          <w:rPr>
            <w:noProof/>
            <w:webHidden/>
          </w:rPr>
          <w:fldChar w:fldCharType="begin"/>
        </w:r>
        <w:r w:rsidR="007C589D">
          <w:rPr>
            <w:noProof/>
            <w:webHidden/>
          </w:rPr>
          <w:instrText xml:space="preserve"> PAGEREF _Toc37412128 \h </w:instrText>
        </w:r>
        <w:r w:rsidR="007C589D">
          <w:rPr>
            <w:noProof/>
            <w:webHidden/>
          </w:rPr>
        </w:r>
        <w:r w:rsidR="007C589D">
          <w:rPr>
            <w:noProof/>
            <w:webHidden/>
          </w:rPr>
          <w:fldChar w:fldCharType="separate"/>
        </w:r>
        <w:r w:rsidR="007C589D">
          <w:rPr>
            <w:noProof/>
            <w:webHidden/>
          </w:rPr>
          <w:t>29</w:t>
        </w:r>
        <w:r w:rsidR="007C589D">
          <w:rPr>
            <w:noProof/>
            <w:webHidden/>
          </w:rPr>
          <w:fldChar w:fldCharType="end"/>
        </w:r>
      </w:hyperlink>
    </w:p>
    <w:p w14:paraId="1FB714A1" w14:textId="6A1C3B15" w:rsidR="007C589D" w:rsidRDefault="0064571D">
      <w:pPr>
        <w:pStyle w:val="TOC2"/>
        <w:tabs>
          <w:tab w:val="left" w:pos="880"/>
          <w:tab w:val="right" w:leader="dot" w:pos="9350"/>
        </w:tabs>
        <w:rPr>
          <w:rFonts w:asciiTheme="minorHAnsi" w:eastAsiaTheme="minorEastAsia" w:hAnsiTheme="minorHAnsi"/>
          <w:noProof/>
          <w:sz w:val="22"/>
        </w:rPr>
      </w:pPr>
      <w:hyperlink w:anchor="_Toc37412129" w:history="1">
        <w:r w:rsidR="007C589D" w:rsidRPr="00347F07">
          <w:rPr>
            <w:rStyle w:val="Hyperlink"/>
            <w:noProof/>
            <w14:scene3d>
              <w14:camera w14:prst="orthographicFront"/>
              <w14:lightRig w14:rig="threePt" w14:dir="t">
                <w14:rot w14:lat="0" w14:lon="0" w14:rev="0"/>
              </w14:lightRig>
            </w14:scene3d>
          </w:rPr>
          <w:t>6.1</w:t>
        </w:r>
        <w:r w:rsidR="007C589D">
          <w:rPr>
            <w:rFonts w:asciiTheme="minorHAnsi" w:eastAsiaTheme="minorEastAsia" w:hAnsiTheme="minorHAnsi"/>
            <w:noProof/>
            <w:sz w:val="22"/>
          </w:rPr>
          <w:tab/>
        </w:r>
        <w:r w:rsidR="007C589D" w:rsidRPr="00347F07">
          <w:rPr>
            <w:rStyle w:val="Hyperlink"/>
            <w:noProof/>
          </w:rPr>
          <w:t>Operational Mitigation</w:t>
        </w:r>
        <w:r w:rsidR="007C589D">
          <w:rPr>
            <w:noProof/>
            <w:webHidden/>
          </w:rPr>
          <w:tab/>
        </w:r>
        <w:r w:rsidR="007C589D">
          <w:rPr>
            <w:noProof/>
            <w:webHidden/>
          </w:rPr>
          <w:fldChar w:fldCharType="begin"/>
        </w:r>
        <w:r w:rsidR="007C589D">
          <w:rPr>
            <w:noProof/>
            <w:webHidden/>
          </w:rPr>
          <w:instrText xml:space="preserve"> PAGEREF _Toc37412129 \h </w:instrText>
        </w:r>
        <w:r w:rsidR="007C589D">
          <w:rPr>
            <w:noProof/>
            <w:webHidden/>
          </w:rPr>
        </w:r>
        <w:r w:rsidR="007C589D">
          <w:rPr>
            <w:noProof/>
            <w:webHidden/>
          </w:rPr>
          <w:fldChar w:fldCharType="separate"/>
        </w:r>
        <w:r w:rsidR="007C589D">
          <w:rPr>
            <w:noProof/>
            <w:webHidden/>
          </w:rPr>
          <w:t>29</w:t>
        </w:r>
        <w:r w:rsidR="007C589D">
          <w:rPr>
            <w:noProof/>
            <w:webHidden/>
          </w:rPr>
          <w:fldChar w:fldCharType="end"/>
        </w:r>
      </w:hyperlink>
    </w:p>
    <w:p w14:paraId="4D9F193D" w14:textId="3B7AC770" w:rsidR="007C589D" w:rsidRDefault="0064571D">
      <w:pPr>
        <w:pStyle w:val="TOC2"/>
        <w:tabs>
          <w:tab w:val="left" w:pos="880"/>
          <w:tab w:val="right" w:leader="dot" w:pos="9350"/>
        </w:tabs>
        <w:rPr>
          <w:rFonts w:asciiTheme="minorHAnsi" w:eastAsiaTheme="minorEastAsia" w:hAnsiTheme="minorHAnsi"/>
          <w:noProof/>
          <w:sz w:val="22"/>
        </w:rPr>
      </w:pPr>
      <w:hyperlink w:anchor="_Toc37412130" w:history="1">
        <w:r w:rsidR="007C589D" w:rsidRPr="00347F07">
          <w:rPr>
            <w:rStyle w:val="Hyperlink"/>
            <w:noProof/>
            <w14:scene3d>
              <w14:camera w14:prst="orthographicFront"/>
              <w14:lightRig w14:rig="threePt" w14:dir="t">
                <w14:rot w14:lat="0" w14:lon="0" w14:rev="0"/>
              </w14:lightRig>
            </w14:scene3d>
          </w:rPr>
          <w:t>6.2</w:t>
        </w:r>
        <w:r w:rsidR="007C589D">
          <w:rPr>
            <w:rFonts w:asciiTheme="minorHAnsi" w:eastAsiaTheme="minorEastAsia" w:hAnsiTheme="minorHAnsi"/>
            <w:noProof/>
            <w:sz w:val="22"/>
          </w:rPr>
          <w:tab/>
        </w:r>
        <w:r w:rsidR="007C589D" w:rsidRPr="00347F07">
          <w:rPr>
            <w:rStyle w:val="Hyperlink"/>
            <w:noProof/>
          </w:rPr>
          <w:t>Construction Mitigation</w:t>
        </w:r>
        <w:r w:rsidR="007C589D">
          <w:rPr>
            <w:noProof/>
            <w:webHidden/>
          </w:rPr>
          <w:tab/>
        </w:r>
        <w:r w:rsidR="007C589D">
          <w:rPr>
            <w:noProof/>
            <w:webHidden/>
          </w:rPr>
          <w:fldChar w:fldCharType="begin"/>
        </w:r>
        <w:r w:rsidR="007C589D">
          <w:rPr>
            <w:noProof/>
            <w:webHidden/>
          </w:rPr>
          <w:instrText xml:space="preserve"> PAGEREF _Toc37412130 \h </w:instrText>
        </w:r>
        <w:r w:rsidR="007C589D">
          <w:rPr>
            <w:noProof/>
            <w:webHidden/>
          </w:rPr>
        </w:r>
        <w:r w:rsidR="007C589D">
          <w:rPr>
            <w:noProof/>
            <w:webHidden/>
          </w:rPr>
          <w:fldChar w:fldCharType="separate"/>
        </w:r>
        <w:r w:rsidR="007C589D">
          <w:rPr>
            <w:noProof/>
            <w:webHidden/>
          </w:rPr>
          <w:t>29</w:t>
        </w:r>
        <w:r w:rsidR="007C589D">
          <w:rPr>
            <w:noProof/>
            <w:webHidden/>
          </w:rPr>
          <w:fldChar w:fldCharType="end"/>
        </w:r>
      </w:hyperlink>
    </w:p>
    <w:p w14:paraId="6B980E34" w14:textId="63D7F8BF" w:rsidR="007C589D" w:rsidRDefault="0064571D">
      <w:pPr>
        <w:pStyle w:val="TOC1"/>
        <w:tabs>
          <w:tab w:val="left" w:pos="480"/>
          <w:tab w:val="right" w:leader="dot" w:pos="9350"/>
        </w:tabs>
        <w:rPr>
          <w:rFonts w:asciiTheme="minorHAnsi" w:eastAsiaTheme="minorEastAsia" w:hAnsiTheme="minorHAnsi"/>
          <w:noProof/>
          <w:sz w:val="22"/>
        </w:rPr>
      </w:pPr>
      <w:hyperlink w:anchor="_Toc37412131" w:history="1">
        <w:r w:rsidR="007C589D" w:rsidRPr="00347F07">
          <w:rPr>
            <w:rStyle w:val="Hyperlink"/>
            <w:noProof/>
          </w:rPr>
          <w:t>7.</w:t>
        </w:r>
        <w:r w:rsidR="007C589D">
          <w:rPr>
            <w:rFonts w:asciiTheme="minorHAnsi" w:eastAsiaTheme="minorEastAsia" w:hAnsiTheme="minorHAnsi"/>
            <w:noProof/>
            <w:sz w:val="22"/>
          </w:rPr>
          <w:tab/>
        </w:r>
        <w:r w:rsidR="007C589D" w:rsidRPr="00347F07">
          <w:rPr>
            <w:rStyle w:val="Hyperlink"/>
            <w:noProof/>
          </w:rPr>
          <w:t>References</w:t>
        </w:r>
        <w:r w:rsidR="007C589D">
          <w:rPr>
            <w:noProof/>
            <w:webHidden/>
          </w:rPr>
          <w:tab/>
        </w:r>
        <w:r w:rsidR="007C589D">
          <w:rPr>
            <w:noProof/>
            <w:webHidden/>
          </w:rPr>
          <w:fldChar w:fldCharType="begin"/>
        </w:r>
        <w:r w:rsidR="007C589D">
          <w:rPr>
            <w:noProof/>
            <w:webHidden/>
          </w:rPr>
          <w:instrText xml:space="preserve"> PAGEREF _Toc37412131 \h </w:instrText>
        </w:r>
        <w:r w:rsidR="007C589D">
          <w:rPr>
            <w:noProof/>
            <w:webHidden/>
          </w:rPr>
        </w:r>
        <w:r w:rsidR="007C589D">
          <w:rPr>
            <w:noProof/>
            <w:webHidden/>
          </w:rPr>
          <w:fldChar w:fldCharType="separate"/>
        </w:r>
        <w:r w:rsidR="007C589D">
          <w:rPr>
            <w:noProof/>
            <w:webHidden/>
          </w:rPr>
          <w:t>30</w:t>
        </w:r>
        <w:r w:rsidR="007C589D">
          <w:rPr>
            <w:noProof/>
            <w:webHidden/>
          </w:rPr>
          <w:fldChar w:fldCharType="end"/>
        </w:r>
      </w:hyperlink>
    </w:p>
    <w:p w14:paraId="4365C0F3" w14:textId="46273B75" w:rsidR="007C589D" w:rsidRDefault="0064571D">
      <w:pPr>
        <w:pStyle w:val="TOC1"/>
        <w:tabs>
          <w:tab w:val="right" w:leader="dot" w:pos="9350"/>
        </w:tabs>
        <w:rPr>
          <w:rFonts w:asciiTheme="minorHAnsi" w:eastAsiaTheme="minorEastAsia" w:hAnsiTheme="minorHAnsi"/>
          <w:noProof/>
          <w:sz w:val="22"/>
        </w:rPr>
      </w:pPr>
      <w:hyperlink w:anchor="_Toc37412132" w:history="1">
        <w:r w:rsidR="007C589D" w:rsidRPr="00347F07">
          <w:rPr>
            <w:rStyle w:val="Hyperlink"/>
            <w:noProof/>
          </w:rPr>
          <w:t>Appendix A</w:t>
        </w:r>
        <w:r w:rsidR="007C589D">
          <w:rPr>
            <w:noProof/>
            <w:webHidden/>
          </w:rPr>
          <w:tab/>
        </w:r>
        <w:r w:rsidR="007C589D">
          <w:rPr>
            <w:noProof/>
            <w:webHidden/>
          </w:rPr>
          <w:fldChar w:fldCharType="begin"/>
        </w:r>
        <w:r w:rsidR="007C589D">
          <w:rPr>
            <w:noProof/>
            <w:webHidden/>
          </w:rPr>
          <w:instrText xml:space="preserve"> PAGEREF _Toc37412132 \h </w:instrText>
        </w:r>
        <w:r w:rsidR="007C589D">
          <w:rPr>
            <w:noProof/>
            <w:webHidden/>
          </w:rPr>
        </w:r>
        <w:r w:rsidR="007C589D">
          <w:rPr>
            <w:noProof/>
            <w:webHidden/>
          </w:rPr>
          <w:fldChar w:fldCharType="separate"/>
        </w:r>
        <w:r w:rsidR="007C589D">
          <w:rPr>
            <w:noProof/>
            <w:webHidden/>
          </w:rPr>
          <w:t>31</w:t>
        </w:r>
        <w:r w:rsidR="007C589D">
          <w:rPr>
            <w:noProof/>
            <w:webHidden/>
          </w:rPr>
          <w:fldChar w:fldCharType="end"/>
        </w:r>
      </w:hyperlink>
    </w:p>
    <w:p w14:paraId="31A7FF06" w14:textId="6FA63619" w:rsidR="007C589D" w:rsidRDefault="0064571D">
      <w:pPr>
        <w:pStyle w:val="TOC1"/>
        <w:tabs>
          <w:tab w:val="right" w:leader="dot" w:pos="9350"/>
        </w:tabs>
        <w:rPr>
          <w:rFonts w:asciiTheme="minorHAnsi" w:eastAsiaTheme="minorEastAsia" w:hAnsiTheme="minorHAnsi"/>
          <w:noProof/>
          <w:sz w:val="22"/>
        </w:rPr>
      </w:pPr>
      <w:hyperlink w:anchor="_Toc37412133" w:history="1">
        <w:r w:rsidR="007C589D" w:rsidRPr="00347F07">
          <w:rPr>
            <w:rStyle w:val="Hyperlink"/>
            <w:noProof/>
          </w:rPr>
          <w:t>Appendix B – Operational MSAT, GHG, and Energy MOVES Modeling</w:t>
        </w:r>
        <w:r w:rsidR="007C589D">
          <w:rPr>
            <w:noProof/>
            <w:webHidden/>
          </w:rPr>
          <w:tab/>
        </w:r>
        <w:r w:rsidR="007C589D">
          <w:rPr>
            <w:noProof/>
            <w:webHidden/>
          </w:rPr>
          <w:fldChar w:fldCharType="begin"/>
        </w:r>
        <w:r w:rsidR="007C589D">
          <w:rPr>
            <w:noProof/>
            <w:webHidden/>
          </w:rPr>
          <w:instrText xml:space="preserve"> PAGEREF _Toc37412133 \h </w:instrText>
        </w:r>
        <w:r w:rsidR="007C589D">
          <w:rPr>
            <w:noProof/>
            <w:webHidden/>
          </w:rPr>
        </w:r>
        <w:r w:rsidR="007C589D">
          <w:rPr>
            <w:noProof/>
            <w:webHidden/>
          </w:rPr>
          <w:fldChar w:fldCharType="separate"/>
        </w:r>
        <w:r w:rsidR="007C589D">
          <w:rPr>
            <w:noProof/>
            <w:webHidden/>
          </w:rPr>
          <w:t>35</w:t>
        </w:r>
        <w:r w:rsidR="007C589D">
          <w:rPr>
            <w:noProof/>
            <w:webHidden/>
          </w:rPr>
          <w:fldChar w:fldCharType="end"/>
        </w:r>
      </w:hyperlink>
    </w:p>
    <w:p w14:paraId="1CF6D79E" w14:textId="5C8959C2" w:rsidR="008B1DFE" w:rsidRDefault="003F4BF5" w:rsidP="00C913F9">
      <w:r>
        <w:fldChar w:fldCharType="end"/>
      </w:r>
    </w:p>
    <w:p w14:paraId="7C7B2255" w14:textId="77777777" w:rsidR="00B73A46" w:rsidRDefault="00B73A46" w:rsidP="00C913F9">
      <w:pPr>
        <w:pStyle w:val="Heading1"/>
        <w:sectPr w:rsidR="00B73A46" w:rsidSect="00B73A46">
          <w:footerReference w:type="default" r:id="rId10"/>
          <w:pgSz w:w="12240" w:h="15840"/>
          <w:pgMar w:top="1440" w:right="1440" w:bottom="1440" w:left="1440" w:header="720" w:footer="720" w:gutter="0"/>
          <w:pgNumType w:start="1"/>
          <w:cols w:space="720"/>
          <w:docGrid w:linePitch="360"/>
        </w:sectPr>
      </w:pPr>
      <w:bookmarkStart w:id="1" w:name="_Toc28692131"/>
    </w:p>
    <w:p w14:paraId="44BA76DB" w14:textId="46C130D4" w:rsidR="00565C7A" w:rsidRDefault="00565C7A" w:rsidP="00C913F9">
      <w:pPr>
        <w:pStyle w:val="Heading1"/>
      </w:pPr>
      <w:bookmarkStart w:id="2" w:name="_Toc37412103"/>
      <w:r w:rsidRPr="003F4BF5">
        <w:lastRenderedPageBreak/>
        <w:t>Summary</w:t>
      </w:r>
      <w:bookmarkEnd w:id="1"/>
      <w:bookmarkEnd w:id="2"/>
    </w:p>
    <w:p w14:paraId="047D4ECE" w14:textId="316A26BC" w:rsidR="00B73A46" w:rsidRDefault="00B73A46" w:rsidP="00B73A46">
      <w:pPr>
        <w:rPr>
          <w:i/>
          <w:color w:val="FF0000"/>
        </w:rPr>
      </w:pPr>
      <w:r w:rsidRPr="00B77791">
        <w:rPr>
          <w:i/>
          <w:color w:val="FF0000"/>
          <w:highlight w:val="yellow"/>
        </w:rPr>
        <w:t>This section provides a brief overview of the report.</w:t>
      </w:r>
    </w:p>
    <w:p w14:paraId="505CCE97" w14:textId="77777777" w:rsidR="00B73A46" w:rsidRPr="00B73A46" w:rsidRDefault="00B73A46" w:rsidP="00B73A46">
      <w:pPr>
        <w:rPr>
          <w:i/>
          <w:color w:val="FF0000"/>
        </w:rPr>
      </w:pPr>
    </w:p>
    <w:p w14:paraId="16EE4B2E" w14:textId="0052D335" w:rsidR="009E3873" w:rsidRPr="009E3873" w:rsidRDefault="009E3873" w:rsidP="00293909">
      <w:pPr>
        <w:pStyle w:val="Heading2"/>
      </w:pPr>
      <w:bookmarkStart w:id="3" w:name="_Toc37412104"/>
      <w:r w:rsidRPr="009E3873">
        <w:t>Purpose of Report</w:t>
      </w:r>
      <w:bookmarkEnd w:id="3"/>
    </w:p>
    <w:p w14:paraId="442779C6" w14:textId="77777777" w:rsidR="00B73A46" w:rsidRDefault="00B73A46" w:rsidP="00B73A46">
      <w:pPr>
        <w:rPr>
          <w:color w:val="FF0000"/>
          <w:highlight w:val="yellow"/>
        </w:rPr>
      </w:pPr>
      <w:r>
        <w:t xml:space="preserve">This report identifies potential effects on air quality, energy and greenhouse gas associated </w:t>
      </w:r>
      <w:r w:rsidRPr="003F0356">
        <w:t xml:space="preserve">with the </w:t>
      </w:r>
      <w:r w:rsidRPr="003F0356">
        <w:rPr>
          <w:highlight w:val="cyan"/>
        </w:rPr>
        <w:t xml:space="preserve">[name of project].  </w:t>
      </w:r>
    </w:p>
    <w:p w14:paraId="39778CFA" w14:textId="77777777" w:rsidR="00B73A46" w:rsidRDefault="00B73A46" w:rsidP="00B73A46">
      <w:pPr>
        <w:rPr>
          <w:color w:val="FF0000"/>
          <w:highlight w:val="yellow"/>
        </w:rPr>
      </w:pPr>
    </w:p>
    <w:p w14:paraId="3A6829D0" w14:textId="77777777" w:rsidR="00B73A46" w:rsidRDefault="00B73A46" w:rsidP="00B73A46">
      <w:r w:rsidRPr="00B77791">
        <w:rPr>
          <w:i/>
          <w:color w:val="FF0000"/>
          <w:highlight w:val="yellow"/>
        </w:rPr>
        <w:t>Identify the document the analysis supports</w:t>
      </w:r>
      <w:r w:rsidRPr="003F0356">
        <w:rPr>
          <w:color w:val="FF0000"/>
          <w:highlight w:val="yellow"/>
        </w:rPr>
        <w:t>.</w:t>
      </w:r>
      <w:r>
        <w:rPr>
          <w:color w:val="FF0000"/>
          <w:highlight w:val="yellow"/>
        </w:rPr>
        <w:t xml:space="preserve"> </w:t>
      </w:r>
      <w:r w:rsidRPr="00D64FD7">
        <w:rPr>
          <w:highlight w:val="cyan"/>
        </w:rPr>
        <w:t>The Project is currently undergoing a National Environmental Policy Act (NEPA) reevaluation to examine the potential project effects from design revisions in the section from Carlisle Avenue south, across the Spokane River, to I-90. The analysis was triggered because the previous transportation conformity determination was over three years old.</w:t>
      </w:r>
    </w:p>
    <w:p w14:paraId="24150E11" w14:textId="77777777" w:rsidR="00C33877" w:rsidRDefault="00C33877" w:rsidP="00C913F9"/>
    <w:p w14:paraId="6F4CEB54" w14:textId="77777777" w:rsidR="00B3616F" w:rsidRPr="009E3873" w:rsidRDefault="00B3616F" w:rsidP="00293909">
      <w:pPr>
        <w:pStyle w:val="Heading2"/>
      </w:pPr>
      <w:bookmarkStart w:id="4" w:name="_Toc37412105"/>
      <w:r w:rsidRPr="009E3873">
        <w:t>Study Approach</w:t>
      </w:r>
      <w:bookmarkEnd w:id="4"/>
    </w:p>
    <w:p w14:paraId="0F4A752A" w14:textId="77777777" w:rsidR="00B73A46" w:rsidRPr="008B0494" w:rsidRDefault="00B73A46" w:rsidP="00B73A46">
      <w:r w:rsidRPr="008B0494">
        <w:t xml:space="preserve">Air quality, energy, and greenhouse gases are regulated by federal, state, and local agencies. The analysis for the </w:t>
      </w:r>
      <w:r>
        <w:t>[</w:t>
      </w:r>
      <w:r>
        <w:rPr>
          <w:highlight w:val="cyan"/>
        </w:rPr>
        <w:t>Project Name</w:t>
      </w:r>
      <w:r>
        <w:t>]</w:t>
      </w:r>
      <w:r w:rsidRPr="003F0356">
        <w:t xml:space="preserve"> follows the current guidelines developed by the U.S. Environmental Protection Agency (EPA), the Washington State Department of Ecology (Ecology), the </w:t>
      </w:r>
      <w:r w:rsidRPr="003F0356">
        <w:rPr>
          <w:highlight w:val="cyan"/>
        </w:rPr>
        <w:t>[Regional Air Quality Agency],</w:t>
      </w:r>
      <w:r w:rsidRPr="003F0356">
        <w:t xml:space="preserve"> and </w:t>
      </w:r>
      <w:r w:rsidRPr="003F0356">
        <w:rPr>
          <w:highlight w:val="cyan"/>
        </w:rPr>
        <w:t>[MPO].</w:t>
      </w:r>
    </w:p>
    <w:p w14:paraId="367D8F9F" w14:textId="77777777" w:rsidR="00B73A46" w:rsidRPr="008B0494" w:rsidRDefault="00B73A46" w:rsidP="00B73A46"/>
    <w:p w14:paraId="09FB858E" w14:textId="77777777" w:rsidR="00B73A46" w:rsidRDefault="00B73A46" w:rsidP="00B73A46">
      <w:r w:rsidRPr="008B0494">
        <w:t>This study included the following elements:</w:t>
      </w:r>
    </w:p>
    <w:p w14:paraId="113F544F" w14:textId="77777777" w:rsidR="00B73A46" w:rsidRPr="003F0356" w:rsidRDefault="00B73A46" w:rsidP="00B73A46">
      <w:pPr>
        <w:rPr>
          <w:highlight w:val="cyan"/>
        </w:rPr>
      </w:pPr>
    </w:p>
    <w:p w14:paraId="45920542" w14:textId="77777777" w:rsidR="00B73A46" w:rsidRPr="003F0356" w:rsidRDefault="00B73A46" w:rsidP="00B73A46">
      <w:pPr>
        <w:pStyle w:val="ListBullet"/>
        <w:rPr>
          <w:highlight w:val="cyan"/>
        </w:rPr>
      </w:pPr>
      <w:r w:rsidRPr="003F0356">
        <w:rPr>
          <w:highlight w:val="cyan"/>
        </w:rPr>
        <w:t xml:space="preserve">Carbon Monoxide (CO) hotspot analysis to demonstrate conformity </w:t>
      </w:r>
    </w:p>
    <w:p w14:paraId="0DE0956A" w14:textId="77777777" w:rsidR="00B73A46" w:rsidRPr="003F0356" w:rsidRDefault="00B73A46" w:rsidP="00B73A46">
      <w:pPr>
        <w:pStyle w:val="ListBullet"/>
        <w:rPr>
          <w:highlight w:val="cyan"/>
        </w:rPr>
      </w:pPr>
      <w:r w:rsidRPr="003F0356">
        <w:rPr>
          <w:highlight w:val="cyan"/>
        </w:rPr>
        <w:t>Coarse Particulate Matter (PM</w:t>
      </w:r>
      <w:r w:rsidRPr="003F0356">
        <w:rPr>
          <w:highlight w:val="cyan"/>
          <w:vertAlign w:val="subscript"/>
        </w:rPr>
        <w:t>10</w:t>
      </w:r>
      <w:r w:rsidRPr="003F0356">
        <w:rPr>
          <w:highlight w:val="cyan"/>
        </w:rPr>
        <w:t>)</w:t>
      </w:r>
      <w:r w:rsidRPr="003F0356">
        <w:rPr>
          <w:highlight w:val="cyan"/>
          <w:vertAlign w:val="subscript"/>
        </w:rPr>
        <w:t xml:space="preserve"> </w:t>
      </w:r>
      <w:r w:rsidRPr="003F0356">
        <w:rPr>
          <w:highlight w:val="cyan"/>
        </w:rPr>
        <w:t>hotspot analysis to demonstrate conformity</w:t>
      </w:r>
    </w:p>
    <w:p w14:paraId="7BD0AE37" w14:textId="77777777" w:rsidR="00B73A46" w:rsidRPr="003F0356" w:rsidRDefault="00B73A46" w:rsidP="00B73A46">
      <w:pPr>
        <w:pStyle w:val="ListBullet"/>
        <w:rPr>
          <w:highlight w:val="cyan"/>
        </w:rPr>
      </w:pPr>
      <w:r w:rsidRPr="003F0356">
        <w:rPr>
          <w:highlight w:val="cyan"/>
        </w:rPr>
        <w:t>Mobile Source </w:t>
      </w:r>
      <w:r w:rsidRPr="003F0356">
        <w:rPr>
          <w:bCs/>
          <w:highlight w:val="cyan"/>
        </w:rPr>
        <w:t>Air</w:t>
      </w:r>
      <w:r w:rsidRPr="003F0356">
        <w:rPr>
          <w:highlight w:val="cyan"/>
        </w:rPr>
        <w:t> Toxics (MSAT), GHG, and energy operational analyses</w:t>
      </w:r>
    </w:p>
    <w:p w14:paraId="0FB8625A" w14:textId="77777777" w:rsidR="00B73A46" w:rsidRPr="003F0356" w:rsidRDefault="00B73A46" w:rsidP="00B73A46">
      <w:pPr>
        <w:pStyle w:val="ListBullet"/>
        <w:rPr>
          <w:highlight w:val="cyan"/>
        </w:rPr>
      </w:pPr>
      <w:r w:rsidRPr="003F0356">
        <w:rPr>
          <w:highlight w:val="cyan"/>
        </w:rPr>
        <w:t>Quantitative GHG and energy construction and operations analysis</w:t>
      </w:r>
    </w:p>
    <w:p w14:paraId="2FA1DF9A" w14:textId="77777777" w:rsidR="00B73A46" w:rsidRPr="003F0356" w:rsidRDefault="00B73A46" w:rsidP="00B73A46">
      <w:pPr>
        <w:pStyle w:val="ListBullet"/>
        <w:rPr>
          <w:highlight w:val="cyan"/>
        </w:rPr>
      </w:pPr>
      <w:r w:rsidRPr="003F0356">
        <w:rPr>
          <w:highlight w:val="cyan"/>
        </w:rPr>
        <w:t>Qualitative criteria pollutant and MSAT construction analysis</w:t>
      </w:r>
    </w:p>
    <w:p w14:paraId="4BA44228" w14:textId="77777777" w:rsidR="00C33877" w:rsidRDefault="00C33877" w:rsidP="00541313">
      <w:pPr>
        <w:pStyle w:val="ListBullet"/>
        <w:numPr>
          <w:ilvl w:val="0"/>
          <w:numId w:val="0"/>
        </w:numPr>
        <w:ind w:left="720"/>
      </w:pPr>
    </w:p>
    <w:p w14:paraId="354E0481" w14:textId="69A55C1E" w:rsidR="00B3616F" w:rsidRDefault="00B3616F" w:rsidP="00293909">
      <w:pPr>
        <w:pStyle w:val="Heading2"/>
      </w:pPr>
      <w:bookmarkStart w:id="5" w:name="_Toc37412106"/>
      <w:r>
        <w:t>Existing Conditions</w:t>
      </w:r>
      <w:r w:rsidR="00C7143F">
        <w:t xml:space="preserve"> Overview</w:t>
      </w:r>
      <w:bookmarkEnd w:id="5"/>
    </w:p>
    <w:p w14:paraId="1C28FAED" w14:textId="77777777" w:rsidR="00B73A46" w:rsidRDefault="00B73A46" w:rsidP="00B73A46">
      <w:r w:rsidRPr="002760BF">
        <w:t>Air quality monitors measure pollutant concentrations throughout the country. EPA, state, tribal</w:t>
      </w:r>
      <w:r>
        <w:t>,</w:t>
      </w:r>
      <w:r w:rsidRPr="002760BF">
        <w:t xml:space="preserve"> and local agencies use that data to ensure that pollutants remain at levels that protect public health and the environment. Nationally, average pollutant concentrations have decreased substantially over the years.</w:t>
      </w:r>
      <w:r>
        <w:t xml:space="preserve"> </w:t>
      </w:r>
      <w:r w:rsidRPr="002760BF">
        <w:t xml:space="preserve">Air quality in the </w:t>
      </w:r>
      <w:r w:rsidRPr="003F0356">
        <w:rPr>
          <w:highlight w:val="cyan"/>
        </w:rPr>
        <w:t>[Puget Sound]</w:t>
      </w:r>
      <w:r w:rsidRPr="002760BF">
        <w:t xml:space="preserve"> region has followed similar trends.</w:t>
      </w:r>
    </w:p>
    <w:p w14:paraId="6B2F0B12" w14:textId="77777777" w:rsidR="00B73A46" w:rsidRDefault="00B73A46" w:rsidP="00B73A46"/>
    <w:p w14:paraId="06C89B7E" w14:textId="77777777" w:rsidR="00B73A46" w:rsidRDefault="00B73A46" w:rsidP="00B73A46">
      <w:r w:rsidRPr="004B7E27">
        <w:lastRenderedPageBreak/>
        <w:t xml:space="preserve">The </w:t>
      </w:r>
      <w:r w:rsidRPr="003F0356">
        <w:rPr>
          <w:highlight w:val="cyan"/>
        </w:rPr>
        <w:t>[Spokane]</w:t>
      </w:r>
      <w:r w:rsidRPr="004B7E27">
        <w:t xml:space="preserve"> region is currently in attainment of the National Ambient Air Quality Standards (NAAQS) for all criteria pollutants. The region violated </w:t>
      </w:r>
      <w:r w:rsidRPr="00255EE9">
        <w:rPr>
          <w:highlight w:val="cyan"/>
        </w:rPr>
        <w:t>[CO and PM</w:t>
      </w:r>
      <w:r w:rsidRPr="00255EE9">
        <w:rPr>
          <w:highlight w:val="cyan"/>
          <w:vertAlign w:val="subscript"/>
        </w:rPr>
        <w:t>10</w:t>
      </w:r>
      <w:r w:rsidRPr="00255EE9">
        <w:rPr>
          <w:highlight w:val="cyan"/>
        </w:rPr>
        <w:t>]</w:t>
      </w:r>
      <w:r w:rsidRPr="004B7E27">
        <w:t xml:space="preserve"> standards in the past. </w:t>
      </w:r>
    </w:p>
    <w:p w14:paraId="5901DE41" w14:textId="77777777" w:rsidR="00B73A46" w:rsidRDefault="00B73A46" w:rsidP="00B73A46"/>
    <w:p w14:paraId="57D55F1D" w14:textId="77777777" w:rsidR="00B73A46" w:rsidRPr="004B7E27" w:rsidRDefault="00B73A46" w:rsidP="00B73A46">
      <w:r w:rsidRPr="000E5FEB">
        <w:rPr>
          <w:b/>
          <w:i/>
          <w:color w:val="FF0000"/>
          <w:highlight w:val="yellow"/>
        </w:rPr>
        <w:t>Identify when the area was redesignated attainment</w:t>
      </w:r>
      <w:r w:rsidRPr="00B77791">
        <w:rPr>
          <w:i/>
          <w:color w:val="FF0000"/>
          <w:highlight w:val="yellow"/>
        </w:rPr>
        <w:t>.</w:t>
      </w:r>
      <w:r w:rsidRPr="00255EE9">
        <w:rPr>
          <w:color w:val="FF0000"/>
        </w:rPr>
        <w:t xml:space="preserve"> </w:t>
      </w:r>
      <w:r w:rsidRPr="00255EE9">
        <w:rPr>
          <w:highlight w:val="cyan"/>
        </w:rPr>
        <w:t>[In 2005, the Environmental Protection Agency (EPA) redesignated the area as attaining the standards. Since then, the area has been under maintenance plans for these two pollutants and projects must demonstrate conformity.]</w:t>
      </w:r>
      <w:r w:rsidRPr="004B7E27">
        <w:t xml:space="preserve"> </w:t>
      </w:r>
    </w:p>
    <w:p w14:paraId="500A26E2" w14:textId="7D6C52B8" w:rsidR="00293909" w:rsidRDefault="00293909" w:rsidP="00B3616F"/>
    <w:p w14:paraId="3FAE4931" w14:textId="32E89E1A" w:rsidR="00B73A46" w:rsidRDefault="00B73A46" w:rsidP="00B73A46">
      <w:pPr>
        <w:pStyle w:val="Heading2"/>
      </w:pPr>
      <w:bookmarkStart w:id="6" w:name="_Toc37412107"/>
      <w:r>
        <w:t>Project Effects Overview</w:t>
      </w:r>
      <w:bookmarkEnd w:id="6"/>
    </w:p>
    <w:p w14:paraId="4C8FC599" w14:textId="77777777" w:rsidR="00B73A46" w:rsidRPr="004B7E27" w:rsidRDefault="00B73A46" w:rsidP="00B73A46">
      <w:r w:rsidRPr="004B7E27">
        <w:t xml:space="preserve">Transportation projects have environmental effects throughout their lifecycle. This analysis addresses </w:t>
      </w:r>
      <w:r w:rsidRPr="00255EE9">
        <w:rPr>
          <w:highlight w:val="cyan"/>
        </w:rPr>
        <w:t>[operational, construction, and maintenance]</w:t>
      </w:r>
      <w:r w:rsidRPr="004B7E27">
        <w:t xml:space="preserve"> effects of the </w:t>
      </w:r>
      <w:r w:rsidRPr="00255EE9">
        <w:rPr>
          <w:highlight w:val="cyan"/>
        </w:rPr>
        <w:t>[North Spokane Corridor project.]</w:t>
      </w:r>
      <w:r w:rsidRPr="004B7E27">
        <w:t xml:space="preserve"> </w:t>
      </w:r>
    </w:p>
    <w:p w14:paraId="5BD9D59D" w14:textId="77777777" w:rsidR="00C33877" w:rsidRPr="008D0D95" w:rsidRDefault="00C33877" w:rsidP="00B3616F"/>
    <w:p w14:paraId="23FA26B0" w14:textId="77777777" w:rsidR="00B3616F" w:rsidRDefault="00B3616F" w:rsidP="007C589D">
      <w:pPr>
        <w:pStyle w:val="Heading3"/>
      </w:pPr>
      <w:r>
        <w:t>Operational Effects</w:t>
      </w:r>
    </w:p>
    <w:p w14:paraId="5F3BCC04" w14:textId="77777777" w:rsidR="00B73A46" w:rsidRDefault="00B73A46" w:rsidP="00B73A46">
      <w:pPr>
        <w:rPr>
          <w:highlight w:val="cyan"/>
        </w:rPr>
      </w:pPr>
      <w:r w:rsidRPr="004B7E27">
        <w:t>Operational effects are the effects of the vehicles using the facility. Traffic in the project area would be affected by changes in the number of vehicles, the travel speeds, and the levels of congestion experienced on local roadways. Energy consumption, air quality and greenhouse gas emissions ca</w:t>
      </w:r>
      <w:r>
        <w:t xml:space="preserve">n be affected by these changes. </w:t>
      </w:r>
      <w:r w:rsidRPr="000E5FEB">
        <w:rPr>
          <w:b/>
          <w:i/>
          <w:color w:val="FF0000"/>
          <w:highlight w:val="yellow"/>
        </w:rPr>
        <w:t>Identify years analyzed</w:t>
      </w:r>
      <w:r w:rsidRPr="00B77791">
        <w:rPr>
          <w:i/>
          <w:color w:val="FF0000"/>
          <w:highlight w:val="yellow"/>
        </w:rPr>
        <w:t>.</w:t>
      </w:r>
      <w:r w:rsidRPr="00255EE9">
        <w:rPr>
          <w:color w:val="FF0000"/>
        </w:rPr>
        <w:t xml:space="preserve"> </w:t>
      </w:r>
      <w:r w:rsidRPr="00255EE9">
        <w:rPr>
          <w:highlight w:val="cyan"/>
        </w:rPr>
        <w:t xml:space="preserve">Traffic data and analysis for 2010 is used to represent existing conditions. Project modeling of build and no build conditions was completed for a design year of 2040. </w:t>
      </w:r>
    </w:p>
    <w:p w14:paraId="140E9298" w14:textId="77777777" w:rsidR="00B73A46" w:rsidRDefault="00B73A46" w:rsidP="00B73A46">
      <w:pPr>
        <w:rPr>
          <w:highlight w:val="cyan"/>
        </w:rPr>
      </w:pPr>
    </w:p>
    <w:p w14:paraId="0E1A7C3B" w14:textId="77777777" w:rsidR="00B73A46" w:rsidRDefault="00B73A46" w:rsidP="00B73A46">
      <w:pPr>
        <w:rPr>
          <w:highlight w:val="cyan"/>
        </w:rPr>
      </w:pPr>
      <w:r>
        <w:t>According to EPA, MOVES2014 is a major revision to MOVES2010</w:t>
      </w:r>
    </w:p>
    <w:p w14:paraId="291CA0F4" w14:textId="77777777" w:rsidR="00B73A46" w:rsidRPr="004B7E27" w:rsidRDefault="00B73A46" w:rsidP="00B73A46">
      <w:r w:rsidRPr="000E5FEB">
        <w:rPr>
          <w:b/>
          <w:i/>
          <w:color w:val="FF0000"/>
          <w:highlight w:val="yellow"/>
        </w:rPr>
        <w:t>Summarize analysis results</w:t>
      </w:r>
      <w:r w:rsidRPr="00255EE9">
        <w:rPr>
          <w:color w:val="FF0000"/>
          <w:highlight w:val="yellow"/>
        </w:rPr>
        <w:t>.</w:t>
      </w:r>
      <w:r>
        <w:rPr>
          <w:highlight w:val="cyan"/>
        </w:rPr>
        <w:t xml:space="preserve"> </w:t>
      </w:r>
      <w:r w:rsidRPr="00255EE9">
        <w:rPr>
          <w:highlight w:val="cyan"/>
        </w:rPr>
        <w:t>The NSC project will have no adverse operational air quality, greenhouse gas and energy effects:</w:t>
      </w:r>
      <w:r w:rsidRPr="004B7E27">
        <w:t xml:space="preserve"> </w:t>
      </w:r>
    </w:p>
    <w:p w14:paraId="4A5768FD" w14:textId="77777777" w:rsidR="00B73A46" w:rsidRPr="00255EE9" w:rsidRDefault="00B73A46" w:rsidP="00B73A46">
      <w:pPr>
        <w:pStyle w:val="ListBullet"/>
        <w:rPr>
          <w:highlight w:val="cyan"/>
        </w:rPr>
      </w:pPr>
      <w:r w:rsidRPr="00255EE9">
        <w:rPr>
          <w:highlight w:val="cyan"/>
        </w:rPr>
        <w:t>The CO hotspot analysis shows that the project will not cause or contribute to an exceedance of the NAAQS. The project meets all CO conformity requirements.</w:t>
      </w:r>
    </w:p>
    <w:p w14:paraId="16637C2B" w14:textId="77777777" w:rsidR="00B73A46" w:rsidRPr="00255EE9" w:rsidRDefault="00B73A46" w:rsidP="00B73A46">
      <w:pPr>
        <w:pStyle w:val="ListBullet"/>
        <w:rPr>
          <w:highlight w:val="cyan"/>
        </w:rPr>
      </w:pPr>
      <w:r w:rsidRPr="00255EE9">
        <w:rPr>
          <w:highlight w:val="cyan"/>
        </w:rPr>
        <w:t>The PM</w:t>
      </w:r>
      <w:r w:rsidRPr="00255EE9">
        <w:rPr>
          <w:highlight w:val="cyan"/>
          <w:vertAlign w:val="subscript"/>
        </w:rPr>
        <w:t>10</w:t>
      </w:r>
      <w:r w:rsidRPr="00255EE9">
        <w:rPr>
          <w:highlight w:val="cyan"/>
        </w:rPr>
        <w:t xml:space="preserve"> hotspot analysis shows that the project will not cause or contribute to an exceedance of the NAAQS. The project meets all PM</w:t>
      </w:r>
      <w:r w:rsidRPr="00255EE9">
        <w:rPr>
          <w:highlight w:val="cyan"/>
          <w:vertAlign w:val="subscript"/>
        </w:rPr>
        <w:t>10</w:t>
      </w:r>
      <w:r w:rsidRPr="00255EE9">
        <w:rPr>
          <w:highlight w:val="cyan"/>
        </w:rPr>
        <w:t xml:space="preserve"> conformity requirements.</w:t>
      </w:r>
    </w:p>
    <w:p w14:paraId="019F3153" w14:textId="77777777" w:rsidR="00B73A46" w:rsidRPr="00255EE9" w:rsidRDefault="00B73A46" w:rsidP="00B73A46">
      <w:pPr>
        <w:pStyle w:val="ListBullet"/>
        <w:rPr>
          <w:highlight w:val="cyan"/>
        </w:rPr>
      </w:pPr>
      <w:r w:rsidRPr="00255EE9">
        <w:rPr>
          <w:highlight w:val="cyan"/>
        </w:rPr>
        <w:t>The project followed</w:t>
      </w:r>
      <w:r w:rsidRPr="00255EE9">
        <w:rPr>
          <w:rFonts w:ascii="Arial" w:hAnsi="Arial" w:cs="Arial"/>
          <w:color w:val="222222"/>
          <w:sz w:val="21"/>
          <w:szCs w:val="21"/>
          <w:highlight w:val="cyan"/>
          <w:shd w:val="clear" w:color="auto" w:fill="FFFFFF"/>
        </w:rPr>
        <w:t xml:space="preserve"> </w:t>
      </w:r>
      <w:r w:rsidRPr="00255EE9">
        <w:rPr>
          <w:highlight w:val="cyan"/>
        </w:rPr>
        <w:t xml:space="preserve">Federal Highway Administration (FHWA) guidance for MSAT analysis. MSATs decrease dramatically between 2010 and 2040 by 89 percent or more, depending on the pollutant, due to improvements in vehicle technology. MSAT emissions from the build alternative are estimated to be about 14-19 percent less than the no build alternative, depending on the pollutant, because of lower vehicle miles traveled (VMT) in the study area with the North Spokane Corridor project and smoother driving conditions with less idling and stop and go conditions. </w:t>
      </w:r>
    </w:p>
    <w:p w14:paraId="5333FD5D" w14:textId="77777777" w:rsidR="00B73A46" w:rsidRPr="004B7E27" w:rsidRDefault="00B73A46" w:rsidP="00B73A46">
      <w:pPr>
        <w:pStyle w:val="ListBullet"/>
      </w:pPr>
      <w:r w:rsidRPr="00255EE9">
        <w:rPr>
          <w:highlight w:val="cyan"/>
        </w:rPr>
        <w:lastRenderedPageBreak/>
        <w:t>Greenhouse gas emissions are similar under the existing conditions and the no build alternative; vehicle efficiency improvements under the 2040 no build alternative are offset by a 55 percent increase in VMT as compared to the existing conditions VMT in the study area. GHG emissions under the 2040 build alternative are about 15 percent less than the 2040 no build and existing alternatives because the 2040 no build alternative has a lower VMT as compared to the no build alternative in the study area and smoother driving conditions with less idling and stop and go conditions with the North Spokane Corridor project.</w:t>
      </w:r>
      <w:r w:rsidRPr="004B7E27">
        <w:t xml:space="preserve"> </w:t>
      </w:r>
    </w:p>
    <w:p w14:paraId="0C8BCC2E" w14:textId="77777777" w:rsidR="00B73A46" w:rsidRPr="00255EE9" w:rsidRDefault="00B73A46" w:rsidP="00B73A46">
      <w:pPr>
        <w:pStyle w:val="ListBullet"/>
        <w:rPr>
          <w:highlight w:val="cyan"/>
        </w:rPr>
      </w:pPr>
      <w:r w:rsidRPr="00255EE9">
        <w:rPr>
          <w:highlight w:val="cyan"/>
        </w:rPr>
        <w:t xml:space="preserve">Energy use is similar under the existing conditions and the 2040 no build alternative; vehicle efficiency improvements under the 2040 no build alternative are offset a 55 percent increase in VMT as compared to the existing conditions VMT in the study area. Energy use under the 2040 build alternative is about 15 percent less than the 2040 no build and existing alternatives because the 2040 no build alternative has a lower VMT as compared to the no build alternative in the study area and smoother driving conditions with less idling and stop and go conditions with the </w:t>
      </w:r>
      <w:r>
        <w:rPr>
          <w:highlight w:val="cyan"/>
        </w:rPr>
        <w:t>North Spokane Corridor project.</w:t>
      </w:r>
    </w:p>
    <w:p w14:paraId="6A24B529" w14:textId="77777777" w:rsidR="00B73A46" w:rsidRDefault="00B73A46" w:rsidP="00B73A46"/>
    <w:p w14:paraId="3F10D724" w14:textId="77777777" w:rsidR="00B73A46" w:rsidRPr="000E5FEB" w:rsidRDefault="00B73A46" w:rsidP="00B73A46">
      <w:pPr>
        <w:rPr>
          <w:b/>
          <w:i/>
          <w:color w:val="FF0000"/>
          <w:highlight w:val="yellow"/>
        </w:rPr>
      </w:pPr>
      <w:r w:rsidRPr="000E5FEB">
        <w:rPr>
          <w:b/>
          <w:i/>
          <w:color w:val="FF0000"/>
          <w:highlight w:val="yellow"/>
        </w:rPr>
        <w:t>Summarize results in a table, example below.</w:t>
      </w:r>
    </w:p>
    <w:p w14:paraId="29280442" w14:textId="796D80BA" w:rsidR="00D1703B" w:rsidRDefault="00D1703B" w:rsidP="00D1703B"/>
    <w:p w14:paraId="74322903" w14:textId="77777777" w:rsidR="00B73A46" w:rsidRPr="00525C59" w:rsidRDefault="00B73A46" w:rsidP="007C589D">
      <w:pPr>
        <w:pStyle w:val="Heading3"/>
        <w:numPr>
          <w:ilvl w:val="0"/>
          <w:numId w:val="39"/>
        </w:numPr>
        <w:rPr>
          <w:highlight w:val="yellow"/>
        </w:rPr>
        <w:sectPr w:rsidR="00B73A46" w:rsidRPr="00525C59" w:rsidSect="00B73A46">
          <w:footerReference w:type="default" r:id="rId11"/>
          <w:pgSz w:w="12240" w:h="15840"/>
          <w:pgMar w:top="1440" w:right="1440" w:bottom="1440" w:left="1440" w:header="720" w:footer="720" w:gutter="0"/>
          <w:pgNumType w:start="1"/>
          <w:cols w:space="720"/>
          <w:docGrid w:linePitch="360"/>
        </w:sectPr>
      </w:pPr>
    </w:p>
    <w:p w14:paraId="435C4689" w14:textId="77777777" w:rsidR="00B73A46" w:rsidRDefault="00B73A46" w:rsidP="00B73A46">
      <w:pPr>
        <w:pStyle w:val="ExhibitTitle"/>
      </w:pPr>
      <w:r w:rsidRPr="006C1C3A">
        <w:lastRenderedPageBreak/>
        <w:t xml:space="preserve">Exhibit </w:t>
      </w:r>
      <w:r>
        <w:t>3 –</w:t>
      </w:r>
      <w:r w:rsidRPr="006C1C3A">
        <w:t xml:space="preserve"> Daily Operational</w:t>
      </w:r>
      <w:r>
        <w:t xml:space="preserve"> Emissions and Energy Use </w:t>
      </w:r>
    </w:p>
    <w:tbl>
      <w:tblPr>
        <w:tblStyle w:val="TableGrid"/>
        <w:tblW w:w="12638" w:type="dxa"/>
        <w:tblBorders>
          <w:top w:val="single" w:sz="12" w:space="0" w:color="auto"/>
          <w:left w:val="none" w:sz="0" w:space="0" w:color="auto"/>
          <w:bottom w:val="single" w:sz="12"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615"/>
        <w:gridCol w:w="810"/>
        <w:gridCol w:w="900"/>
        <w:gridCol w:w="900"/>
        <w:gridCol w:w="900"/>
        <w:gridCol w:w="930"/>
        <w:gridCol w:w="930"/>
        <w:gridCol w:w="930"/>
        <w:gridCol w:w="900"/>
        <w:gridCol w:w="930"/>
        <w:gridCol w:w="930"/>
        <w:gridCol w:w="1166"/>
        <w:gridCol w:w="797"/>
      </w:tblGrid>
      <w:tr w:rsidR="00B73A46" w:rsidRPr="00D14154" w14:paraId="1E89B527" w14:textId="77777777" w:rsidTr="00B73A46">
        <w:trPr>
          <w:trHeight w:val="2076"/>
        </w:trPr>
        <w:tc>
          <w:tcPr>
            <w:tcW w:w="1615" w:type="dxa"/>
            <w:tcBorders>
              <w:left w:val="single" w:sz="4" w:space="0" w:color="BFBFBF" w:themeColor="background1" w:themeShade="BF"/>
              <w:bottom w:val="single" w:sz="12" w:space="0" w:color="auto"/>
              <w:right w:val="single" w:sz="4" w:space="0" w:color="BFBFBF" w:themeColor="background1" w:themeShade="BF"/>
            </w:tcBorders>
            <w:vAlign w:val="bottom"/>
          </w:tcPr>
          <w:p w14:paraId="460AC5B8" w14:textId="77777777" w:rsidR="00B73A46" w:rsidRPr="001E6C3F" w:rsidRDefault="00B73A46" w:rsidP="00B73A46">
            <w:pPr>
              <w:rPr>
                <w:sz w:val="22"/>
              </w:rPr>
            </w:pPr>
            <w:r w:rsidRPr="001E6C3F">
              <w:rPr>
                <w:sz w:val="22"/>
              </w:rPr>
              <w:t xml:space="preserve">Alternative </w:t>
            </w:r>
          </w:p>
        </w:tc>
        <w:tc>
          <w:tcPr>
            <w:tcW w:w="810" w:type="dxa"/>
            <w:tcBorders>
              <w:left w:val="single" w:sz="4" w:space="0" w:color="BFBFBF" w:themeColor="background1" w:themeShade="BF"/>
              <w:bottom w:val="single" w:sz="12" w:space="0" w:color="auto"/>
              <w:right w:val="single" w:sz="4" w:space="0" w:color="BFBFBF" w:themeColor="background1" w:themeShade="BF"/>
            </w:tcBorders>
            <w:textDirection w:val="btLr"/>
            <w:vAlign w:val="center"/>
          </w:tcPr>
          <w:p w14:paraId="264FF66B" w14:textId="77777777" w:rsidR="00B73A46" w:rsidRPr="0048164B" w:rsidRDefault="00B73A46" w:rsidP="00B73A46">
            <w:pPr>
              <w:pStyle w:val="NormalWeb"/>
              <w:rPr>
                <w:rFonts w:asciiTheme="majorHAnsi" w:eastAsiaTheme="minorHAnsi" w:hAnsiTheme="majorHAnsi"/>
                <w:sz w:val="22"/>
                <w:szCs w:val="22"/>
              </w:rPr>
            </w:pPr>
            <w:r w:rsidRPr="0048164B">
              <w:rPr>
                <w:rFonts w:asciiTheme="majorHAnsi" w:eastAsiaTheme="minorHAnsi" w:hAnsiTheme="majorHAnsi"/>
                <w:sz w:val="22"/>
                <w:szCs w:val="22"/>
              </w:rPr>
              <w:t>VMT (miles)</w:t>
            </w:r>
          </w:p>
        </w:tc>
        <w:tc>
          <w:tcPr>
            <w:tcW w:w="900" w:type="dxa"/>
            <w:tcBorders>
              <w:left w:val="single" w:sz="4" w:space="0" w:color="BFBFBF" w:themeColor="background1" w:themeShade="BF"/>
              <w:bottom w:val="single" w:sz="12" w:space="0" w:color="auto"/>
            </w:tcBorders>
            <w:textDirection w:val="btLr"/>
            <w:vAlign w:val="center"/>
          </w:tcPr>
          <w:p w14:paraId="64AD20CA" w14:textId="77777777" w:rsidR="00B73A46" w:rsidRPr="0048164B" w:rsidRDefault="00B73A46" w:rsidP="00B73A46">
            <w:pPr>
              <w:pStyle w:val="NormalWeb"/>
              <w:rPr>
                <w:rFonts w:asciiTheme="majorHAnsi" w:eastAsiaTheme="minorHAnsi" w:hAnsiTheme="majorHAnsi"/>
                <w:sz w:val="22"/>
                <w:szCs w:val="22"/>
              </w:rPr>
            </w:pPr>
            <w:r w:rsidRPr="0048164B">
              <w:rPr>
                <w:rFonts w:asciiTheme="majorHAnsi" w:eastAsiaTheme="minorHAnsi" w:hAnsiTheme="majorHAnsi"/>
                <w:sz w:val="22"/>
                <w:szCs w:val="22"/>
              </w:rPr>
              <w:t>1,3-Butadiene (g)</w:t>
            </w:r>
          </w:p>
        </w:tc>
        <w:tc>
          <w:tcPr>
            <w:tcW w:w="900" w:type="dxa"/>
            <w:tcBorders>
              <w:bottom w:val="single" w:sz="12" w:space="0" w:color="auto"/>
            </w:tcBorders>
            <w:textDirection w:val="btLr"/>
            <w:vAlign w:val="center"/>
          </w:tcPr>
          <w:p w14:paraId="60CFCEE1" w14:textId="77777777" w:rsidR="00B73A46" w:rsidRPr="0048164B" w:rsidRDefault="00B73A46" w:rsidP="00B73A46">
            <w:pPr>
              <w:pStyle w:val="NormalWeb"/>
              <w:rPr>
                <w:rFonts w:asciiTheme="majorHAnsi" w:eastAsiaTheme="minorHAnsi" w:hAnsiTheme="majorHAnsi"/>
                <w:sz w:val="22"/>
                <w:szCs w:val="22"/>
              </w:rPr>
            </w:pPr>
            <w:r w:rsidRPr="0048164B">
              <w:rPr>
                <w:rFonts w:asciiTheme="majorHAnsi" w:eastAsiaTheme="minorHAnsi" w:hAnsiTheme="majorHAnsi"/>
                <w:sz w:val="22"/>
                <w:szCs w:val="22"/>
              </w:rPr>
              <w:t>Acetaldehyde (g)</w:t>
            </w:r>
          </w:p>
        </w:tc>
        <w:tc>
          <w:tcPr>
            <w:tcW w:w="900" w:type="dxa"/>
            <w:tcBorders>
              <w:bottom w:val="single" w:sz="12" w:space="0" w:color="auto"/>
            </w:tcBorders>
            <w:textDirection w:val="btLr"/>
            <w:vAlign w:val="center"/>
          </w:tcPr>
          <w:p w14:paraId="1F40845A" w14:textId="77777777" w:rsidR="00B73A46" w:rsidRPr="0048164B" w:rsidRDefault="00B73A46" w:rsidP="00B73A46">
            <w:pPr>
              <w:pStyle w:val="NormalWeb"/>
              <w:rPr>
                <w:rFonts w:asciiTheme="majorHAnsi" w:eastAsiaTheme="minorHAnsi" w:hAnsiTheme="majorHAnsi"/>
                <w:sz w:val="22"/>
                <w:szCs w:val="22"/>
              </w:rPr>
            </w:pPr>
            <w:r w:rsidRPr="0048164B">
              <w:rPr>
                <w:rFonts w:asciiTheme="majorHAnsi" w:eastAsiaTheme="minorHAnsi" w:hAnsiTheme="majorHAnsi"/>
                <w:sz w:val="22"/>
                <w:szCs w:val="22"/>
              </w:rPr>
              <w:t>Acrolein (g)</w:t>
            </w:r>
          </w:p>
        </w:tc>
        <w:tc>
          <w:tcPr>
            <w:tcW w:w="930" w:type="dxa"/>
            <w:tcBorders>
              <w:bottom w:val="single" w:sz="12" w:space="0" w:color="auto"/>
            </w:tcBorders>
            <w:textDirection w:val="btLr"/>
            <w:vAlign w:val="center"/>
          </w:tcPr>
          <w:p w14:paraId="092238C8" w14:textId="77777777" w:rsidR="00B73A46" w:rsidRPr="0048164B" w:rsidRDefault="00B73A46" w:rsidP="00B73A46">
            <w:pPr>
              <w:pStyle w:val="NormalWeb"/>
              <w:rPr>
                <w:rFonts w:asciiTheme="majorHAnsi" w:eastAsiaTheme="minorHAnsi" w:hAnsiTheme="majorHAnsi"/>
                <w:sz w:val="22"/>
                <w:szCs w:val="22"/>
              </w:rPr>
            </w:pPr>
            <w:r w:rsidRPr="0048164B">
              <w:rPr>
                <w:rFonts w:asciiTheme="majorHAnsi" w:eastAsiaTheme="minorHAnsi" w:hAnsiTheme="majorHAnsi"/>
                <w:sz w:val="22"/>
                <w:szCs w:val="22"/>
              </w:rPr>
              <w:t>Benzene (g)</w:t>
            </w:r>
          </w:p>
        </w:tc>
        <w:tc>
          <w:tcPr>
            <w:tcW w:w="930" w:type="dxa"/>
            <w:tcBorders>
              <w:bottom w:val="single" w:sz="12" w:space="0" w:color="auto"/>
            </w:tcBorders>
            <w:textDirection w:val="btLr"/>
            <w:vAlign w:val="center"/>
          </w:tcPr>
          <w:p w14:paraId="00E8FA19" w14:textId="77777777" w:rsidR="00B73A46" w:rsidRPr="0048164B" w:rsidRDefault="00B73A46" w:rsidP="00B73A46">
            <w:pPr>
              <w:pStyle w:val="NormalWeb"/>
              <w:rPr>
                <w:rFonts w:asciiTheme="majorHAnsi" w:eastAsiaTheme="minorHAnsi" w:hAnsiTheme="majorHAnsi"/>
                <w:sz w:val="22"/>
                <w:szCs w:val="22"/>
              </w:rPr>
            </w:pPr>
            <w:r w:rsidRPr="0048164B">
              <w:rPr>
                <w:rFonts w:asciiTheme="majorHAnsi" w:eastAsiaTheme="minorHAnsi" w:hAnsiTheme="majorHAnsi"/>
                <w:sz w:val="22"/>
                <w:szCs w:val="22"/>
              </w:rPr>
              <w:t>Diesel PM (g)</w:t>
            </w:r>
          </w:p>
        </w:tc>
        <w:tc>
          <w:tcPr>
            <w:tcW w:w="930" w:type="dxa"/>
            <w:tcBorders>
              <w:bottom w:val="single" w:sz="12" w:space="0" w:color="auto"/>
            </w:tcBorders>
            <w:textDirection w:val="btLr"/>
            <w:vAlign w:val="center"/>
          </w:tcPr>
          <w:p w14:paraId="04CF2F5B" w14:textId="77777777" w:rsidR="00B73A46" w:rsidRPr="0048164B" w:rsidRDefault="00B73A46" w:rsidP="00B73A46">
            <w:pPr>
              <w:pStyle w:val="NormalWeb"/>
              <w:rPr>
                <w:rFonts w:asciiTheme="majorHAnsi" w:eastAsiaTheme="minorHAnsi" w:hAnsiTheme="majorHAnsi"/>
                <w:sz w:val="22"/>
                <w:szCs w:val="22"/>
              </w:rPr>
            </w:pPr>
            <w:r w:rsidRPr="0048164B">
              <w:rPr>
                <w:rFonts w:asciiTheme="majorHAnsi" w:eastAsiaTheme="minorHAnsi" w:hAnsiTheme="majorHAnsi"/>
                <w:sz w:val="22"/>
                <w:szCs w:val="22"/>
              </w:rPr>
              <w:t>Ethylbenzene (g)</w:t>
            </w:r>
          </w:p>
        </w:tc>
        <w:tc>
          <w:tcPr>
            <w:tcW w:w="900" w:type="dxa"/>
            <w:tcBorders>
              <w:bottom w:val="single" w:sz="12" w:space="0" w:color="auto"/>
            </w:tcBorders>
            <w:textDirection w:val="btLr"/>
            <w:vAlign w:val="center"/>
          </w:tcPr>
          <w:p w14:paraId="1B587839" w14:textId="77777777" w:rsidR="00B73A46" w:rsidRPr="0048164B" w:rsidRDefault="00B73A46" w:rsidP="00B73A46">
            <w:pPr>
              <w:pStyle w:val="NormalWeb"/>
              <w:rPr>
                <w:rFonts w:asciiTheme="majorHAnsi" w:eastAsiaTheme="minorHAnsi" w:hAnsiTheme="majorHAnsi"/>
                <w:sz w:val="22"/>
                <w:szCs w:val="22"/>
              </w:rPr>
            </w:pPr>
            <w:r w:rsidRPr="0048164B">
              <w:rPr>
                <w:rFonts w:asciiTheme="majorHAnsi" w:eastAsiaTheme="minorHAnsi" w:hAnsiTheme="majorHAnsi"/>
                <w:sz w:val="22"/>
                <w:szCs w:val="22"/>
              </w:rPr>
              <w:t>Formaldehyde (g)</w:t>
            </w:r>
          </w:p>
        </w:tc>
        <w:tc>
          <w:tcPr>
            <w:tcW w:w="930" w:type="dxa"/>
            <w:tcBorders>
              <w:bottom w:val="single" w:sz="12" w:space="0" w:color="auto"/>
            </w:tcBorders>
            <w:textDirection w:val="btLr"/>
            <w:vAlign w:val="center"/>
          </w:tcPr>
          <w:p w14:paraId="2C08F098" w14:textId="77777777" w:rsidR="00B73A46" w:rsidRPr="0048164B" w:rsidRDefault="00B73A46" w:rsidP="00B73A46">
            <w:pPr>
              <w:pStyle w:val="NormalWeb"/>
              <w:rPr>
                <w:rFonts w:asciiTheme="majorHAnsi" w:eastAsiaTheme="minorHAnsi" w:hAnsiTheme="majorHAnsi"/>
                <w:sz w:val="22"/>
                <w:szCs w:val="22"/>
              </w:rPr>
            </w:pPr>
            <w:r w:rsidRPr="0048164B">
              <w:rPr>
                <w:rFonts w:asciiTheme="majorHAnsi" w:eastAsiaTheme="minorHAnsi" w:hAnsiTheme="majorHAnsi"/>
                <w:sz w:val="22"/>
                <w:szCs w:val="22"/>
              </w:rPr>
              <w:t>Naphthalene (g)</w:t>
            </w:r>
          </w:p>
        </w:tc>
        <w:tc>
          <w:tcPr>
            <w:tcW w:w="930" w:type="dxa"/>
            <w:tcBorders>
              <w:bottom w:val="single" w:sz="12" w:space="0" w:color="auto"/>
              <w:right w:val="single" w:sz="4" w:space="0" w:color="BFBFBF" w:themeColor="background1" w:themeShade="BF"/>
            </w:tcBorders>
            <w:textDirection w:val="btLr"/>
            <w:vAlign w:val="center"/>
          </w:tcPr>
          <w:p w14:paraId="6E02AF26" w14:textId="77777777" w:rsidR="00B73A46" w:rsidRPr="0048164B" w:rsidRDefault="00B73A46" w:rsidP="00B73A46">
            <w:pPr>
              <w:pStyle w:val="NormalWeb"/>
              <w:rPr>
                <w:rFonts w:asciiTheme="majorHAnsi" w:eastAsiaTheme="minorHAnsi" w:hAnsiTheme="majorHAnsi"/>
                <w:sz w:val="22"/>
                <w:szCs w:val="22"/>
              </w:rPr>
            </w:pPr>
            <w:r w:rsidRPr="0048164B">
              <w:rPr>
                <w:rFonts w:asciiTheme="majorHAnsi" w:eastAsiaTheme="minorHAnsi" w:hAnsiTheme="majorHAnsi"/>
                <w:sz w:val="22"/>
                <w:szCs w:val="22"/>
              </w:rPr>
              <w:t>POM (g)</w:t>
            </w:r>
          </w:p>
        </w:tc>
        <w:tc>
          <w:tcPr>
            <w:tcW w:w="1166" w:type="dxa"/>
            <w:tcBorders>
              <w:left w:val="single" w:sz="4" w:space="0" w:color="BFBFBF" w:themeColor="background1" w:themeShade="BF"/>
              <w:bottom w:val="single" w:sz="12" w:space="0" w:color="auto"/>
              <w:right w:val="single" w:sz="4" w:space="0" w:color="BFBFBF" w:themeColor="background1" w:themeShade="BF"/>
            </w:tcBorders>
            <w:textDirection w:val="btLr"/>
            <w:vAlign w:val="center"/>
          </w:tcPr>
          <w:p w14:paraId="780648A3" w14:textId="77777777" w:rsidR="00B73A46" w:rsidRPr="0048164B" w:rsidRDefault="00B73A46" w:rsidP="00B73A46">
            <w:pPr>
              <w:pStyle w:val="NormalWeb"/>
              <w:rPr>
                <w:rFonts w:asciiTheme="majorHAnsi" w:eastAsiaTheme="minorHAnsi" w:hAnsiTheme="majorHAnsi"/>
                <w:sz w:val="22"/>
                <w:szCs w:val="22"/>
              </w:rPr>
            </w:pPr>
            <w:r w:rsidRPr="0048164B">
              <w:rPr>
                <w:rFonts w:asciiTheme="majorHAnsi" w:eastAsiaTheme="minorHAnsi" w:hAnsiTheme="majorHAnsi"/>
                <w:sz w:val="22"/>
                <w:szCs w:val="22"/>
              </w:rPr>
              <w:t>Energy Use (M</w:t>
            </w:r>
            <w:r>
              <w:rPr>
                <w:rFonts w:asciiTheme="majorHAnsi" w:eastAsiaTheme="minorHAnsi" w:hAnsiTheme="majorHAnsi"/>
                <w:sz w:val="22"/>
                <w:szCs w:val="22"/>
              </w:rPr>
              <w:t>MBTU</w:t>
            </w:r>
            <w:r w:rsidRPr="0048164B">
              <w:rPr>
                <w:rFonts w:asciiTheme="majorHAnsi" w:eastAsiaTheme="minorHAnsi" w:hAnsiTheme="majorHAnsi"/>
                <w:sz w:val="22"/>
                <w:szCs w:val="22"/>
              </w:rPr>
              <w:t>)</w:t>
            </w:r>
          </w:p>
        </w:tc>
        <w:tc>
          <w:tcPr>
            <w:tcW w:w="797" w:type="dxa"/>
            <w:tcBorders>
              <w:left w:val="single" w:sz="4" w:space="0" w:color="BFBFBF" w:themeColor="background1" w:themeShade="BF"/>
              <w:bottom w:val="single" w:sz="12" w:space="0" w:color="auto"/>
              <w:right w:val="single" w:sz="4" w:space="0" w:color="BFBFBF" w:themeColor="background1" w:themeShade="BF"/>
            </w:tcBorders>
            <w:textDirection w:val="btLr"/>
            <w:vAlign w:val="center"/>
          </w:tcPr>
          <w:p w14:paraId="241D992A" w14:textId="77777777" w:rsidR="00B73A46" w:rsidRPr="0048164B" w:rsidRDefault="00B73A46" w:rsidP="00B73A46">
            <w:pPr>
              <w:pStyle w:val="NormalWeb"/>
              <w:rPr>
                <w:rFonts w:asciiTheme="majorHAnsi" w:eastAsiaTheme="minorHAnsi" w:hAnsiTheme="majorHAnsi"/>
                <w:sz w:val="22"/>
                <w:szCs w:val="22"/>
              </w:rPr>
            </w:pPr>
            <w:r w:rsidRPr="0048164B">
              <w:rPr>
                <w:rFonts w:asciiTheme="majorHAnsi" w:eastAsiaTheme="minorHAnsi" w:hAnsiTheme="majorHAnsi"/>
                <w:sz w:val="22"/>
                <w:szCs w:val="22"/>
              </w:rPr>
              <w:t>GHGs (MT)</w:t>
            </w:r>
          </w:p>
        </w:tc>
      </w:tr>
      <w:tr w:rsidR="00B73A46" w:rsidRPr="008D6886" w14:paraId="37B7E829" w14:textId="77777777" w:rsidTr="00B73A46">
        <w:tc>
          <w:tcPr>
            <w:tcW w:w="1615" w:type="dxa"/>
            <w:tcBorders>
              <w:left w:val="single" w:sz="4" w:space="0" w:color="BFBFBF" w:themeColor="background1" w:themeShade="BF"/>
              <w:bottom w:val="single" w:sz="4" w:space="0" w:color="auto"/>
              <w:right w:val="single" w:sz="4" w:space="0" w:color="BFBFBF" w:themeColor="background1" w:themeShade="BF"/>
            </w:tcBorders>
            <w:vAlign w:val="bottom"/>
          </w:tcPr>
          <w:p w14:paraId="23F76B4B" w14:textId="77777777" w:rsidR="00B73A46" w:rsidRPr="001E6C3F" w:rsidRDefault="00B73A46" w:rsidP="00B73A46">
            <w:pPr>
              <w:rPr>
                <w:sz w:val="22"/>
              </w:rPr>
            </w:pPr>
            <w:r w:rsidRPr="001E6C3F">
              <w:rPr>
                <w:sz w:val="22"/>
              </w:rPr>
              <w:t>Existing (</w:t>
            </w:r>
            <w:r>
              <w:rPr>
                <w:sz w:val="22"/>
              </w:rPr>
              <w:t>year</w:t>
            </w:r>
            <w:r w:rsidRPr="001E6C3F">
              <w:rPr>
                <w:sz w:val="22"/>
              </w:rPr>
              <w:t>)</w:t>
            </w:r>
          </w:p>
        </w:tc>
        <w:tc>
          <w:tcPr>
            <w:tcW w:w="810" w:type="dxa"/>
            <w:tcBorders>
              <w:left w:val="single" w:sz="4" w:space="0" w:color="BFBFBF" w:themeColor="background1" w:themeShade="BF"/>
              <w:bottom w:val="single" w:sz="4" w:space="0" w:color="auto"/>
              <w:right w:val="single" w:sz="4" w:space="0" w:color="BFBFBF" w:themeColor="background1" w:themeShade="BF"/>
            </w:tcBorders>
            <w:vAlign w:val="bottom"/>
          </w:tcPr>
          <w:p w14:paraId="65DBD2B8" w14:textId="77777777" w:rsidR="00B73A46" w:rsidRPr="001E6C3F" w:rsidRDefault="00B73A46" w:rsidP="00B73A46">
            <w:pPr>
              <w:jc w:val="center"/>
              <w:rPr>
                <w:sz w:val="22"/>
              </w:rPr>
            </w:pPr>
          </w:p>
        </w:tc>
        <w:tc>
          <w:tcPr>
            <w:tcW w:w="900" w:type="dxa"/>
            <w:tcBorders>
              <w:left w:val="single" w:sz="4" w:space="0" w:color="BFBFBF" w:themeColor="background1" w:themeShade="BF"/>
              <w:bottom w:val="single" w:sz="4" w:space="0" w:color="auto"/>
            </w:tcBorders>
            <w:vAlign w:val="bottom"/>
          </w:tcPr>
          <w:p w14:paraId="3D2FB8B5" w14:textId="77777777" w:rsidR="00B73A46" w:rsidRPr="001E6C3F" w:rsidRDefault="00B73A46" w:rsidP="00B73A46">
            <w:pPr>
              <w:jc w:val="center"/>
              <w:rPr>
                <w:sz w:val="22"/>
              </w:rPr>
            </w:pPr>
          </w:p>
        </w:tc>
        <w:tc>
          <w:tcPr>
            <w:tcW w:w="900" w:type="dxa"/>
            <w:tcBorders>
              <w:bottom w:val="single" w:sz="4" w:space="0" w:color="auto"/>
            </w:tcBorders>
            <w:vAlign w:val="bottom"/>
          </w:tcPr>
          <w:p w14:paraId="6ACDC5C1" w14:textId="77777777" w:rsidR="00B73A46" w:rsidRPr="001E6C3F" w:rsidRDefault="00B73A46" w:rsidP="00B73A46">
            <w:pPr>
              <w:jc w:val="center"/>
              <w:rPr>
                <w:sz w:val="22"/>
              </w:rPr>
            </w:pPr>
          </w:p>
        </w:tc>
        <w:tc>
          <w:tcPr>
            <w:tcW w:w="900" w:type="dxa"/>
            <w:tcBorders>
              <w:bottom w:val="single" w:sz="4" w:space="0" w:color="auto"/>
            </w:tcBorders>
            <w:vAlign w:val="bottom"/>
          </w:tcPr>
          <w:p w14:paraId="73285A52" w14:textId="77777777" w:rsidR="00B73A46" w:rsidRPr="001E6C3F" w:rsidRDefault="00B73A46" w:rsidP="00B73A46">
            <w:pPr>
              <w:jc w:val="center"/>
              <w:rPr>
                <w:sz w:val="22"/>
              </w:rPr>
            </w:pPr>
          </w:p>
        </w:tc>
        <w:tc>
          <w:tcPr>
            <w:tcW w:w="930" w:type="dxa"/>
            <w:tcBorders>
              <w:bottom w:val="single" w:sz="4" w:space="0" w:color="auto"/>
            </w:tcBorders>
            <w:vAlign w:val="bottom"/>
          </w:tcPr>
          <w:p w14:paraId="6E1DFA7E" w14:textId="77777777" w:rsidR="00B73A46" w:rsidRPr="001E6C3F" w:rsidRDefault="00B73A46" w:rsidP="00B73A46">
            <w:pPr>
              <w:jc w:val="center"/>
              <w:rPr>
                <w:sz w:val="22"/>
              </w:rPr>
            </w:pPr>
          </w:p>
        </w:tc>
        <w:tc>
          <w:tcPr>
            <w:tcW w:w="930" w:type="dxa"/>
            <w:tcBorders>
              <w:bottom w:val="single" w:sz="4" w:space="0" w:color="auto"/>
            </w:tcBorders>
            <w:vAlign w:val="bottom"/>
          </w:tcPr>
          <w:p w14:paraId="0F1F939C" w14:textId="77777777" w:rsidR="00B73A46" w:rsidRPr="001E6C3F" w:rsidRDefault="00B73A46" w:rsidP="00B73A46">
            <w:pPr>
              <w:jc w:val="center"/>
              <w:rPr>
                <w:sz w:val="22"/>
              </w:rPr>
            </w:pPr>
          </w:p>
        </w:tc>
        <w:tc>
          <w:tcPr>
            <w:tcW w:w="930" w:type="dxa"/>
            <w:tcBorders>
              <w:bottom w:val="single" w:sz="4" w:space="0" w:color="auto"/>
            </w:tcBorders>
            <w:vAlign w:val="bottom"/>
          </w:tcPr>
          <w:p w14:paraId="496E8770" w14:textId="77777777" w:rsidR="00B73A46" w:rsidRPr="001E6C3F" w:rsidRDefault="00B73A46" w:rsidP="00B73A46">
            <w:pPr>
              <w:jc w:val="center"/>
              <w:rPr>
                <w:sz w:val="22"/>
              </w:rPr>
            </w:pPr>
          </w:p>
        </w:tc>
        <w:tc>
          <w:tcPr>
            <w:tcW w:w="900" w:type="dxa"/>
            <w:tcBorders>
              <w:bottom w:val="single" w:sz="4" w:space="0" w:color="auto"/>
            </w:tcBorders>
            <w:vAlign w:val="bottom"/>
          </w:tcPr>
          <w:p w14:paraId="304E9D45" w14:textId="77777777" w:rsidR="00B73A46" w:rsidRPr="001E6C3F" w:rsidRDefault="00B73A46" w:rsidP="00B73A46">
            <w:pPr>
              <w:jc w:val="center"/>
              <w:rPr>
                <w:sz w:val="22"/>
              </w:rPr>
            </w:pPr>
          </w:p>
        </w:tc>
        <w:tc>
          <w:tcPr>
            <w:tcW w:w="930" w:type="dxa"/>
            <w:tcBorders>
              <w:bottom w:val="single" w:sz="4" w:space="0" w:color="auto"/>
            </w:tcBorders>
            <w:vAlign w:val="bottom"/>
          </w:tcPr>
          <w:p w14:paraId="52F421C7" w14:textId="77777777" w:rsidR="00B73A46" w:rsidRPr="001E6C3F" w:rsidRDefault="00B73A46" w:rsidP="00B73A46">
            <w:pPr>
              <w:jc w:val="center"/>
              <w:rPr>
                <w:sz w:val="22"/>
              </w:rPr>
            </w:pPr>
          </w:p>
        </w:tc>
        <w:tc>
          <w:tcPr>
            <w:tcW w:w="930" w:type="dxa"/>
            <w:tcBorders>
              <w:bottom w:val="single" w:sz="4" w:space="0" w:color="auto"/>
              <w:right w:val="single" w:sz="4" w:space="0" w:color="BFBFBF" w:themeColor="background1" w:themeShade="BF"/>
            </w:tcBorders>
            <w:vAlign w:val="bottom"/>
          </w:tcPr>
          <w:p w14:paraId="7AC0B498" w14:textId="77777777" w:rsidR="00B73A46" w:rsidRPr="001E6C3F" w:rsidRDefault="00B73A46" w:rsidP="00B73A46">
            <w:pPr>
              <w:jc w:val="center"/>
              <w:rPr>
                <w:sz w:val="22"/>
              </w:rPr>
            </w:pPr>
          </w:p>
        </w:tc>
        <w:tc>
          <w:tcPr>
            <w:tcW w:w="1166" w:type="dxa"/>
            <w:tcBorders>
              <w:left w:val="single" w:sz="4" w:space="0" w:color="BFBFBF" w:themeColor="background1" w:themeShade="BF"/>
              <w:bottom w:val="single" w:sz="4" w:space="0" w:color="auto"/>
              <w:right w:val="single" w:sz="4" w:space="0" w:color="BFBFBF" w:themeColor="background1" w:themeShade="BF"/>
            </w:tcBorders>
            <w:vAlign w:val="bottom"/>
          </w:tcPr>
          <w:p w14:paraId="4DDD1B3C" w14:textId="77777777" w:rsidR="00B73A46" w:rsidRPr="001E6C3F" w:rsidRDefault="00B73A46" w:rsidP="00B73A46">
            <w:pPr>
              <w:jc w:val="center"/>
              <w:rPr>
                <w:sz w:val="22"/>
              </w:rPr>
            </w:pPr>
          </w:p>
        </w:tc>
        <w:tc>
          <w:tcPr>
            <w:tcW w:w="797" w:type="dxa"/>
            <w:tcBorders>
              <w:left w:val="single" w:sz="4" w:space="0" w:color="BFBFBF" w:themeColor="background1" w:themeShade="BF"/>
              <w:bottom w:val="single" w:sz="4" w:space="0" w:color="auto"/>
              <w:right w:val="single" w:sz="4" w:space="0" w:color="BFBFBF" w:themeColor="background1" w:themeShade="BF"/>
            </w:tcBorders>
            <w:vAlign w:val="bottom"/>
          </w:tcPr>
          <w:p w14:paraId="366ABBEB" w14:textId="77777777" w:rsidR="00B73A46" w:rsidRPr="001E6C3F" w:rsidRDefault="00B73A46" w:rsidP="00B73A46">
            <w:pPr>
              <w:jc w:val="center"/>
              <w:rPr>
                <w:sz w:val="22"/>
              </w:rPr>
            </w:pPr>
          </w:p>
        </w:tc>
      </w:tr>
      <w:tr w:rsidR="00B73A46" w:rsidRPr="008D6886" w14:paraId="3FEE8364" w14:textId="77777777" w:rsidTr="00B73A46">
        <w:tc>
          <w:tcPr>
            <w:tcW w:w="1615" w:type="dxa"/>
            <w:tcBorders>
              <w:top w:val="single" w:sz="4" w:space="0" w:color="auto"/>
              <w:left w:val="single" w:sz="4" w:space="0" w:color="BFBFBF" w:themeColor="background1" w:themeShade="BF"/>
              <w:right w:val="single" w:sz="4" w:space="0" w:color="BFBFBF" w:themeColor="background1" w:themeShade="BF"/>
            </w:tcBorders>
            <w:vAlign w:val="bottom"/>
          </w:tcPr>
          <w:p w14:paraId="255232CE" w14:textId="77777777" w:rsidR="00B73A46" w:rsidRPr="001E6C3F" w:rsidRDefault="00B73A46" w:rsidP="00B73A46">
            <w:pPr>
              <w:rPr>
                <w:sz w:val="22"/>
              </w:rPr>
            </w:pPr>
            <w:r w:rsidRPr="001E6C3F">
              <w:rPr>
                <w:sz w:val="22"/>
              </w:rPr>
              <w:t>No Build (</w:t>
            </w:r>
            <w:r>
              <w:rPr>
                <w:sz w:val="22"/>
              </w:rPr>
              <w:t>year</w:t>
            </w:r>
            <w:r w:rsidRPr="001E6C3F">
              <w:rPr>
                <w:sz w:val="22"/>
              </w:rPr>
              <w:t>)</w:t>
            </w:r>
          </w:p>
        </w:tc>
        <w:tc>
          <w:tcPr>
            <w:tcW w:w="810" w:type="dxa"/>
            <w:tcBorders>
              <w:top w:val="single" w:sz="4" w:space="0" w:color="auto"/>
              <w:left w:val="single" w:sz="4" w:space="0" w:color="BFBFBF" w:themeColor="background1" w:themeShade="BF"/>
              <w:right w:val="single" w:sz="4" w:space="0" w:color="BFBFBF" w:themeColor="background1" w:themeShade="BF"/>
            </w:tcBorders>
            <w:vAlign w:val="bottom"/>
          </w:tcPr>
          <w:p w14:paraId="5D73CE5E" w14:textId="77777777" w:rsidR="00B73A46" w:rsidRPr="001E6C3F" w:rsidRDefault="00B73A46" w:rsidP="00B73A46">
            <w:pPr>
              <w:jc w:val="center"/>
              <w:rPr>
                <w:sz w:val="22"/>
              </w:rPr>
            </w:pPr>
          </w:p>
        </w:tc>
        <w:tc>
          <w:tcPr>
            <w:tcW w:w="900" w:type="dxa"/>
            <w:tcBorders>
              <w:top w:val="single" w:sz="4" w:space="0" w:color="auto"/>
              <w:left w:val="single" w:sz="4" w:space="0" w:color="BFBFBF" w:themeColor="background1" w:themeShade="BF"/>
            </w:tcBorders>
            <w:vAlign w:val="bottom"/>
          </w:tcPr>
          <w:p w14:paraId="3EC0DB91" w14:textId="77777777" w:rsidR="00B73A46" w:rsidRPr="001E6C3F" w:rsidRDefault="00B73A46" w:rsidP="00B73A46">
            <w:pPr>
              <w:jc w:val="center"/>
              <w:rPr>
                <w:sz w:val="22"/>
              </w:rPr>
            </w:pPr>
          </w:p>
        </w:tc>
        <w:tc>
          <w:tcPr>
            <w:tcW w:w="900" w:type="dxa"/>
            <w:tcBorders>
              <w:top w:val="single" w:sz="4" w:space="0" w:color="auto"/>
            </w:tcBorders>
            <w:vAlign w:val="bottom"/>
          </w:tcPr>
          <w:p w14:paraId="07B42757" w14:textId="77777777" w:rsidR="00B73A46" w:rsidRPr="001E6C3F" w:rsidRDefault="00B73A46" w:rsidP="00B73A46">
            <w:pPr>
              <w:jc w:val="center"/>
              <w:rPr>
                <w:sz w:val="22"/>
              </w:rPr>
            </w:pPr>
          </w:p>
        </w:tc>
        <w:tc>
          <w:tcPr>
            <w:tcW w:w="900" w:type="dxa"/>
            <w:tcBorders>
              <w:top w:val="single" w:sz="4" w:space="0" w:color="auto"/>
            </w:tcBorders>
            <w:vAlign w:val="bottom"/>
          </w:tcPr>
          <w:p w14:paraId="2555EA08" w14:textId="77777777" w:rsidR="00B73A46" w:rsidRPr="001E6C3F" w:rsidRDefault="00B73A46" w:rsidP="00B73A46">
            <w:pPr>
              <w:jc w:val="center"/>
              <w:rPr>
                <w:sz w:val="22"/>
              </w:rPr>
            </w:pPr>
          </w:p>
        </w:tc>
        <w:tc>
          <w:tcPr>
            <w:tcW w:w="930" w:type="dxa"/>
            <w:tcBorders>
              <w:top w:val="single" w:sz="4" w:space="0" w:color="auto"/>
            </w:tcBorders>
            <w:vAlign w:val="bottom"/>
          </w:tcPr>
          <w:p w14:paraId="6BFFFBF0" w14:textId="77777777" w:rsidR="00B73A46" w:rsidRPr="001E6C3F" w:rsidRDefault="00B73A46" w:rsidP="00B73A46">
            <w:pPr>
              <w:jc w:val="center"/>
              <w:rPr>
                <w:sz w:val="22"/>
              </w:rPr>
            </w:pPr>
          </w:p>
        </w:tc>
        <w:tc>
          <w:tcPr>
            <w:tcW w:w="930" w:type="dxa"/>
            <w:tcBorders>
              <w:top w:val="single" w:sz="4" w:space="0" w:color="auto"/>
            </w:tcBorders>
            <w:vAlign w:val="bottom"/>
          </w:tcPr>
          <w:p w14:paraId="56710785" w14:textId="77777777" w:rsidR="00B73A46" w:rsidRPr="001E6C3F" w:rsidRDefault="00B73A46" w:rsidP="00B73A46">
            <w:pPr>
              <w:jc w:val="center"/>
              <w:rPr>
                <w:sz w:val="22"/>
              </w:rPr>
            </w:pPr>
          </w:p>
        </w:tc>
        <w:tc>
          <w:tcPr>
            <w:tcW w:w="930" w:type="dxa"/>
            <w:tcBorders>
              <w:top w:val="single" w:sz="4" w:space="0" w:color="auto"/>
            </w:tcBorders>
            <w:vAlign w:val="bottom"/>
          </w:tcPr>
          <w:p w14:paraId="493A515B" w14:textId="77777777" w:rsidR="00B73A46" w:rsidRPr="001E6C3F" w:rsidRDefault="00B73A46" w:rsidP="00B73A46">
            <w:pPr>
              <w:jc w:val="center"/>
              <w:rPr>
                <w:sz w:val="22"/>
              </w:rPr>
            </w:pPr>
          </w:p>
        </w:tc>
        <w:tc>
          <w:tcPr>
            <w:tcW w:w="900" w:type="dxa"/>
            <w:tcBorders>
              <w:top w:val="single" w:sz="4" w:space="0" w:color="auto"/>
            </w:tcBorders>
            <w:vAlign w:val="bottom"/>
          </w:tcPr>
          <w:p w14:paraId="5D4FFA4E" w14:textId="77777777" w:rsidR="00B73A46" w:rsidRPr="001E6C3F" w:rsidRDefault="00B73A46" w:rsidP="00B73A46">
            <w:pPr>
              <w:jc w:val="center"/>
              <w:rPr>
                <w:sz w:val="22"/>
              </w:rPr>
            </w:pPr>
          </w:p>
        </w:tc>
        <w:tc>
          <w:tcPr>
            <w:tcW w:w="930" w:type="dxa"/>
            <w:tcBorders>
              <w:top w:val="single" w:sz="4" w:space="0" w:color="auto"/>
            </w:tcBorders>
            <w:vAlign w:val="bottom"/>
          </w:tcPr>
          <w:p w14:paraId="604271E7" w14:textId="77777777" w:rsidR="00B73A46" w:rsidRPr="001E6C3F" w:rsidRDefault="00B73A46" w:rsidP="00B73A46">
            <w:pPr>
              <w:jc w:val="center"/>
              <w:rPr>
                <w:sz w:val="22"/>
              </w:rPr>
            </w:pPr>
          </w:p>
        </w:tc>
        <w:tc>
          <w:tcPr>
            <w:tcW w:w="930" w:type="dxa"/>
            <w:tcBorders>
              <w:top w:val="single" w:sz="4" w:space="0" w:color="auto"/>
              <w:right w:val="single" w:sz="4" w:space="0" w:color="BFBFBF" w:themeColor="background1" w:themeShade="BF"/>
            </w:tcBorders>
            <w:vAlign w:val="bottom"/>
          </w:tcPr>
          <w:p w14:paraId="70189683" w14:textId="77777777" w:rsidR="00B73A46" w:rsidRPr="001E6C3F" w:rsidRDefault="00B73A46" w:rsidP="00B73A46">
            <w:pPr>
              <w:jc w:val="center"/>
              <w:rPr>
                <w:sz w:val="22"/>
              </w:rPr>
            </w:pPr>
          </w:p>
        </w:tc>
        <w:tc>
          <w:tcPr>
            <w:tcW w:w="1166" w:type="dxa"/>
            <w:tcBorders>
              <w:top w:val="single" w:sz="4" w:space="0" w:color="auto"/>
              <w:left w:val="single" w:sz="4" w:space="0" w:color="BFBFBF" w:themeColor="background1" w:themeShade="BF"/>
              <w:right w:val="single" w:sz="4" w:space="0" w:color="BFBFBF" w:themeColor="background1" w:themeShade="BF"/>
            </w:tcBorders>
            <w:vAlign w:val="bottom"/>
          </w:tcPr>
          <w:p w14:paraId="7A53197F" w14:textId="77777777" w:rsidR="00B73A46" w:rsidRPr="001E6C3F" w:rsidRDefault="00B73A46" w:rsidP="00B73A46">
            <w:pPr>
              <w:jc w:val="center"/>
              <w:rPr>
                <w:sz w:val="22"/>
              </w:rPr>
            </w:pPr>
          </w:p>
        </w:tc>
        <w:tc>
          <w:tcPr>
            <w:tcW w:w="797" w:type="dxa"/>
            <w:tcBorders>
              <w:top w:val="single" w:sz="4" w:space="0" w:color="auto"/>
              <w:left w:val="single" w:sz="4" w:space="0" w:color="BFBFBF" w:themeColor="background1" w:themeShade="BF"/>
              <w:right w:val="single" w:sz="4" w:space="0" w:color="BFBFBF" w:themeColor="background1" w:themeShade="BF"/>
            </w:tcBorders>
            <w:vAlign w:val="bottom"/>
          </w:tcPr>
          <w:p w14:paraId="61060B5B" w14:textId="77777777" w:rsidR="00B73A46" w:rsidRPr="001E6C3F" w:rsidRDefault="00B73A46" w:rsidP="00B73A46">
            <w:pPr>
              <w:jc w:val="center"/>
              <w:rPr>
                <w:sz w:val="22"/>
              </w:rPr>
            </w:pPr>
          </w:p>
        </w:tc>
      </w:tr>
      <w:tr w:rsidR="00B73A46" w14:paraId="30ED913C" w14:textId="77777777" w:rsidTr="00B73A46">
        <w:tc>
          <w:tcPr>
            <w:tcW w:w="1615" w:type="dxa"/>
            <w:tcBorders>
              <w:left w:val="single" w:sz="4" w:space="0" w:color="BFBFBF" w:themeColor="background1" w:themeShade="BF"/>
              <w:bottom w:val="single" w:sz="4" w:space="0" w:color="auto"/>
              <w:right w:val="single" w:sz="4" w:space="0" w:color="BFBFBF" w:themeColor="background1" w:themeShade="BF"/>
            </w:tcBorders>
            <w:vAlign w:val="bottom"/>
          </w:tcPr>
          <w:p w14:paraId="3C336B4B" w14:textId="77777777" w:rsidR="00B73A46" w:rsidRPr="001E6C3F" w:rsidRDefault="00B73A46" w:rsidP="00B73A46">
            <w:pPr>
              <w:rPr>
                <w:sz w:val="22"/>
              </w:rPr>
            </w:pPr>
            <w:r w:rsidRPr="001E6C3F">
              <w:rPr>
                <w:sz w:val="22"/>
              </w:rPr>
              <w:t>No Build compared to Existing</w:t>
            </w:r>
          </w:p>
        </w:tc>
        <w:tc>
          <w:tcPr>
            <w:tcW w:w="810" w:type="dxa"/>
            <w:tcBorders>
              <w:left w:val="single" w:sz="4" w:space="0" w:color="BFBFBF" w:themeColor="background1" w:themeShade="BF"/>
              <w:bottom w:val="single" w:sz="4" w:space="0" w:color="auto"/>
              <w:right w:val="single" w:sz="4" w:space="0" w:color="BFBFBF" w:themeColor="background1" w:themeShade="BF"/>
            </w:tcBorders>
            <w:vAlign w:val="bottom"/>
          </w:tcPr>
          <w:p w14:paraId="1BA7FF87" w14:textId="77777777" w:rsidR="00B73A46" w:rsidRPr="001E6C3F" w:rsidRDefault="00B73A46" w:rsidP="00B73A46">
            <w:pPr>
              <w:jc w:val="center"/>
              <w:rPr>
                <w:sz w:val="22"/>
              </w:rPr>
            </w:pPr>
          </w:p>
        </w:tc>
        <w:tc>
          <w:tcPr>
            <w:tcW w:w="900" w:type="dxa"/>
            <w:tcBorders>
              <w:left w:val="single" w:sz="4" w:space="0" w:color="BFBFBF" w:themeColor="background1" w:themeShade="BF"/>
              <w:bottom w:val="single" w:sz="4" w:space="0" w:color="auto"/>
            </w:tcBorders>
            <w:vAlign w:val="bottom"/>
          </w:tcPr>
          <w:p w14:paraId="1702AB5F" w14:textId="77777777" w:rsidR="00B73A46" w:rsidRPr="001E6C3F" w:rsidRDefault="00B73A46" w:rsidP="00B73A46">
            <w:pPr>
              <w:jc w:val="center"/>
              <w:rPr>
                <w:sz w:val="22"/>
              </w:rPr>
            </w:pPr>
          </w:p>
        </w:tc>
        <w:tc>
          <w:tcPr>
            <w:tcW w:w="900" w:type="dxa"/>
            <w:tcBorders>
              <w:bottom w:val="single" w:sz="4" w:space="0" w:color="auto"/>
            </w:tcBorders>
            <w:vAlign w:val="bottom"/>
          </w:tcPr>
          <w:p w14:paraId="5C75205F" w14:textId="77777777" w:rsidR="00B73A46" w:rsidRPr="001E6C3F" w:rsidRDefault="00B73A46" w:rsidP="00B73A46">
            <w:pPr>
              <w:jc w:val="center"/>
              <w:rPr>
                <w:sz w:val="22"/>
              </w:rPr>
            </w:pPr>
          </w:p>
        </w:tc>
        <w:tc>
          <w:tcPr>
            <w:tcW w:w="900" w:type="dxa"/>
            <w:tcBorders>
              <w:bottom w:val="single" w:sz="4" w:space="0" w:color="auto"/>
            </w:tcBorders>
            <w:vAlign w:val="bottom"/>
          </w:tcPr>
          <w:p w14:paraId="1467B395" w14:textId="77777777" w:rsidR="00B73A46" w:rsidRPr="001E6C3F" w:rsidRDefault="00B73A46" w:rsidP="00B73A46">
            <w:pPr>
              <w:jc w:val="center"/>
              <w:rPr>
                <w:sz w:val="22"/>
              </w:rPr>
            </w:pPr>
          </w:p>
        </w:tc>
        <w:tc>
          <w:tcPr>
            <w:tcW w:w="930" w:type="dxa"/>
            <w:tcBorders>
              <w:bottom w:val="single" w:sz="4" w:space="0" w:color="auto"/>
            </w:tcBorders>
            <w:vAlign w:val="bottom"/>
          </w:tcPr>
          <w:p w14:paraId="69611126" w14:textId="77777777" w:rsidR="00B73A46" w:rsidRPr="001E6C3F" w:rsidRDefault="00B73A46" w:rsidP="00B73A46">
            <w:pPr>
              <w:jc w:val="center"/>
              <w:rPr>
                <w:sz w:val="22"/>
              </w:rPr>
            </w:pPr>
          </w:p>
        </w:tc>
        <w:tc>
          <w:tcPr>
            <w:tcW w:w="930" w:type="dxa"/>
            <w:tcBorders>
              <w:bottom w:val="single" w:sz="4" w:space="0" w:color="auto"/>
            </w:tcBorders>
            <w:vAlign w:val="bottom"/>
          </w:tcPr>
          <w:p w14:paraId="4BDBDD95" w14:textId="77777777" w:rsidR="00B73A46" w:rsidRPr="001E6C3F" w:rsidRDefault="00B73A46" w:rsidP="00B73A46">
            <w:pPr>
              <w:jc w:val="center"/>
              <w:rPr>
                <w:sz w:val="22"/>
              </w:rPr>
            </w:pPr>
          </w:p>
        </w:tc>
        <w:tc>
          <w:tcPr>
            <w:tcW w:w="930" w:type="dxa"/>
            <w:tcBorders>
              <w:bottom w:val="single" w:sz="4" w:space="0" w:color="auto"/>
            </w:tcBorders>
            <w:vAlign w:val="bottom"/>
          </w:tcPr>
          <w:p w14:paraId="4CD083DB" w14:textId="77777777" w:rsidR="00B73A46" w:rsidRPr="001E6C3F" w:rsidRDefault="00B73A46" w:rsidP="00B73A46">
            <w:pPr>
              <w:jc w:val="center"/>
              <w:rPr>
                <w:sz w:val="22"/>
              </w:rPr>
            </w:pPr>
          </w:p>
        </w:tc>
        <w:tc>
          <w:tcPr>
            <w:tcW w:w="900" w:type="dxa"/>
            <w:tcBorders>
              <w:bottom w:val="single" w:sz="4" w:space="0" w:color="auto"/>
            </w:tcBorders>
            <w:vAlign w:val="bottom"/>
          </w:tcPr>
          <w:p w14:paraId="765F4385" w14:textId="77777777" w:rsidR="00B73A46" w:rsidRPr="001E6C3F" w:rsidRDefault="00B73A46" w:rsidP="00B73A46">
            <w:pPr>
              <w:jc w:val="center"/>
              <w:rPr>
                <w:sz w:val="22"/>
              </w:rPr>
            </w:pPr>
          </w:p>
        </w:tc>
        <w:tc>
          <w:tcPr>
            <w:tcW w:w="930" w:type="dxa"/>
            <w:tcBorders>
              <w:bottom w:val="single" w:sz="4" w:space="0" w:color="auto"/>
            </w:tcBorders>
            <w:vAlign w:val="bottom"/>
          </w:tcPr>
          <w:p w14:paraId="3FAE32C9" w14:textId="77777777" w:rsidR="00B73A46" w:rsidRPr="001E6C3F" w:rsidRDefault="00B73A46" w:rsidP="00B73A46">
            <w:pPr>
              <w:jc w:val="center"/>
              <w:rPr>
                <w:sz w:val="22"/>
              </w:rPr>
            </w:pPr>
          </w:p>
        </w:tc>
        <w:tc>
          <w:tcPr>
            <w:tcW w:w="930" w:type="dxa"/>
            <w:tcBorders>
              <w:bottom w:val="single" w:sz="4" w:space="0" w:color="auto"/>
              <w:right w:val="single" w:sz="4" w:space="0" w:color="BFBFBF" w:themeColor="background1" w:themeShade="BF"/>
            </w:tcBorders>
            <w:vAlign w:val="bottom"/>
          </w:tcPr>
          <w:p w14:paraId="18DF3166" w14:textId="77777777" w:rsidR="00B73A46" w:rsidRPr="001E6C3F" w:rsidRDefault="00B73A46" w:rsidP="00B73A46">
            <w:pPr>
              <w:jc w:val="center"/>
              <w:rPr>
                <w:sz w:val="22"/>
              </w:rPr>
            </w:pPr>
          </w:p>
        </w:tc>
        <w:tc>
          <w:tcPr>
            <w:tcW w:w="1166" w:type="dxa"/>
            <w:tcBorders>
              <w:left w:val="single" w:sz="4" w:space="0" w:color="BFBFBF" w:themeColor="background1" w:themeShade="BF"/>
              <w:bottom w:val="single" w:sz="4" w:space="0" w:color="auto"/>
              <w:right w:val="single" w:sz="4" w:space="0" w:color="BFBFBF" w:themeColor="background1" w:themeShade="BF"/>
            </w:tcBorders>
            <w:vAlign w:val="bottom"/>
          </w:tcPr>
          <w:p w14:paraId="4576CA81" w14:textId="77777777" w:rsidR="00B73A46" w:rsidRPr="001E6C3F" w:rsidRDefault="00B73A46" w:rsidP="00B73A46">
            <w:pPr>
              <w:jc w:val="center"/>
              <w:rPr>
                <w:sz w:val="22"/>
              </w:rPr>
            </w:pPr>
          </w:p>
        </w:tc>
        <w:tc>
          <w:tcPr>
            <w:tcW w:w="797" w:type="dxa"/>
            <w:tcBorders>
              <w:left w:val="single" w:sz="4" w:space="0" w:color="BFBFBF" w:themeColor="background1" w:themeShade="BF"/>
              <w:bottom w:val="single" w:sz="4" w:space="0" w:color="auto"/>
              <w:right w:val="single" w:sz="4" w:space="0" w:color="BFBFBF" w:themeColor="background1" w:themeShade="BF"/>
            </w:tcBorders>
            <w:vAlign w:val="bottom"/>
          </w:tcPr>
          <w:p w14:paraId="79439665" w14:textId="77777777" w:rsidR="00B73A46" w:rsidRPr="001E6C3F" w:rsidRDefault="00B73A46" w:rsidP="00B73A46">
            <w:pPr>
              <w:jc w:val="center"/>
              <w:rPr>
                <w:sz w:val="22"/>
              </w:rPr>
            </w:pPr>
          </w:p>
        </w:tc>
      </w:tr>
      <w:tr w:rsidR="00B73A46" w:rsidRPr="008D6886" w14:paraId="2A94EBE8" w14:textId="77777777" w:rsidTr="00B73A46">
        <w:tc>
          <w:tcPr>
            <w:tcW w:w="1615" w:type="dxa"/>
            <w:tcBorders>
              <w:top w:val="single" w:sz="4" w:space="0" w:color="auto"/>
              <w:left w:val="single" w:sz="4" w:space="0" w:color="BFBFBF" w:themeColor="background1" w:themeShade="BF"/>
              <w:right w:val="single" w:sz="4" w:space="0" w:color="BFBFBF" w:themeColor="background1" w:themeShade="BF"/>
            </w:tcBorders>
            <w:vAlign w:val="bottom"/>
          </w:tcPr>
          <w:p w14:paraId="24E97E0B" w14:textId="77777777" w:rsidR="00B73A46" w:rsidRPr="001E6C3F" w:rsidRDefault="00B73A46" w:rsidP="00B73A46">
            <w:pPr>
              <w:rPr>
                <w:sz w:val="22"/>
              </w:rPr>
            </w:pPr>
            <w:r w:rsidRPr="001E6C3F">
              <w:rPr>
                <w:sz w:val="22"/>
              </w:rPr>
              <w:t>Build (</w:t>
            </w:r>
            <w:r>
              <w:rPr>
                <w:sz w:val="22"/>
              </w:rPr>
              <w:t>year</w:t>
            </w:r>
            <w:r w:rsidRPr="001E6C3F">
              <w:rPr>
                <w:sz w:val="22"/>
              </w:rPr>
              <w:t>)</w:t>
            </w:r>
          </w:p>
        </w:tc>
        <w:tc>
          <w:tcPr>
            <w:tcW w:w="810" w:type="dxa"/>
            <w:tcBorders>
              <w:top w:val="single" w:sz="4" w:space="0" w:color="auto"/>
              <w:left w:val="single" w:sz="4" w:space="0" w:color="BFBFBF" w:themeColor="background1" w:themeShade="BF"/>
              <w:right w:val="single" w:sz="4" w:space="0" w:color="BFBFBF" w:themeColor="background1" w:themeShade="BF"/>
            </w:tcBorders>
            <w:vAlign w:val="bottom"/>
          </w:tcPr>
          <w:p w14:paraId="2C953E45" w14:textId="77777777" w:rsidR="00B73A46" w:rsidRPr="001E6C3F" w:rsidRDefault="00B73A46" w:rsidP="00B73A46">
            <w:pPr>
              <w:jc w:val="center"/>
              <w:rPr>
                <w:sz w:val="22"/>
              </w:rPr>
            </w:pPr>
          </w:p>
        </w:tc>
        <w:tc>
          <w:tcPr>
            <w:tcW w:w="900" w:type="dxa"/>
            <w:tcBorders>
              <w:top w:val="single" w:sz="4" w:space="0" w:color="auto"/>
              <w:left w:val="single" w:sz="4" w:space="0" w:color="BFBFBF" w:themeColor="background1" w:themeShade="BF"/>
            </w:tcBorders>
            <w:vAlign w:val="bottom"/>
          </w:tcPr>
          <w:p w14:paraId="7482A179" w14:textId="77777777" w:rsidR="00B73A46" w:rsidRPr="001E6C3F" w:rsidRDefault="00B73A46" w:rsidP="00B73A46">
            <w:pPr>
              <w:jc w:val="center"/>
              <w:rPr>
                <w:sz w:val="22"/>
              </w:rPr>
            </w:pPr>
          </w:p>
        </w:tc>
        <w:tc>
          <w:tcPr>
            <w:tcW w:w="900" w:type="dxa"/>
            <w:tcBorders>
              <w:top w:val="single" w:sz="4" w:space="0" w:color="auto"/>
            </w:tcBorders>
            <w:vAlign w:val="bottom"/>
          </w:tcPr>
          <w:p w14:paraId="527998F1" w14:textId="77777777" w:rsidR="00B73A46" w:rsidRPr="001E6C3F" w:rsidRDefault="00B73A46" w:rsidP="00B73A46">
            <w:pPr>
              <w:jc w:val="center"/>
              <w:rPr>
                <w:sz w:val="22"/>
              </w:rPr>
            </w:pPr>
          </w:p>
        </w:tc>
        <w:tc>
          <w:tcPr>
            <w:tcW w:w="900" w:type="dxa"/>
            <w:tcBorders>
              <w:top w:val="single" w:sz="4" w:space="0" w:color="auto"/>
            </w:tcBorders>
            <w:vAlign w:val="bottom"/>
          </w:tcPr>
          <w:p w14:paraId="1DED244E" w14:textId="77777777" w:rsidR="00B73A46" w:rsidRPr="001E6C3F" w:rsidRDefault="00B73A46" w:rsidP="00B73A46">
            <w:pPr>
              <w:jc w:val="center"/>
              <w:rPr>
                <w:sz w:val="22"/>
              </w:rPr>
            </w:pPr>
          </w:p>
        </w:tc>
        <w:tc>
          <w:tcPr>
            <w:tcW w:w="930" w:type="dxa"/>
            <w:tcBorders>
              <w:top w:val="single" w:sz="4" w:space="0" w:color="auto"/>
            </w:tcBorders>
            <w:vAlign w:val="bottom"/>
          </w:tcPr>
          <w:p w14:paraId="2D967424" w14:textId="77777777" w:rsidR="00B73A46" w:rsidRPr="001E6C3F" w:rsidRDefault="00B73A46" w:rsidP="00B73A46">
            <w:pPr>
              <w:jc w:val="center"/>
              <w:rPr>
                <w:sz w:val="22"/>
              </w:rPr>
            </w:pPr>
          </w:p>
        </w:tc>
        <w:tc>
          <w:tcPr>
            <w:tcW w:w="930" w:type="dxa"/>
            <w:tcBorders>
              <w:top w:val="single" w:sz="4" w:space="0" w:color="auto"/>
            </w:tcBorders>
            <w:vAlign w:val="bottom"/>
          </w:tcPr>
          <w:p w14:paraId="7FF25E91" w14:textId="77777777" w:rsidR="00B73A46" w:rsidRPr="001E6C3F" w:rsidRDefault="00B73A46" w:rsidP="00B73A46">
            <w:pPr>
              <w:jc w:val="center"/>
              <w:rPr>
                <w:sz w:val="22"/>
              </w:rPr>
            </w:pPr>
          </w:p>
        </w:tc>
        <w:tc>
          <w:tcPr>
            <w:tcW w:w="930" w:type="dxa"/>
            <w:tcBorders>
              <w:top w:val="single" w:sz="4" w:space="0" w:color="auto"/>
            </w:tcBorders>
            <w:vAlign w:val="bottom"/>
          </w:tcPr>
          <w:p w14:paraId="1022EA8C" w14:textId="77777777" w:rsidR="00B73A46" w:rsidRPr="001E6C3F" w:rsidRDefault="00B73A46" w:rsidP="00B73A46">
            <w:pPr>
              <w:jc w:val="center"/>
              <w:rPr>
                <w:sz w:val="22"/>
              </w:rPr>
            </w:pPr>
          </w:p>
        </w:tc>
        <w:tc>
          <w:tcPr>
            <w:tcW w:w="900" w:type="dxa"/>
            <w:tcBorders>
              <w:top w:val="single" w:sz="4" w:space="0" w:color="auto"/>
            </w:tcBorders>
            <w:vAlign w:val="bottom"/>
          </w:tcPr>
          <w:p w14:paraId="268CB8BB" w14:textId="77777777" w:rsidR="00B73A46" w:rsidRPr="001E6C3F" w:rsidRDefault="00B73A46" w:rsidP="00B73A46">
            <w:pPr>
              <w:jc w:val="center"/>
              <w:rPr>
                <w:sz w:val="22"/>
              </w:rPr>
            </w:pPr>
          </w:p>
        </w:tc>
        <w:tc>
          <w:tcPr>
            <w:tcW w:w="930" w:type="dxa"/>
            <w:tcBorders>
              <w:top w:val="single" w:sz="4" w:space="0" w:color="auto"/>
            </w:tcBorders>
            <w:vAlign w:val="bottom"/>
          </w:tcPr>
          <w:p w14:paraId="7F97966D" w14:textId="77777777" w:rsidR="00B73A46" w:rsidRPr="001E6C3F" w:rsidRDefault="00B73A46" w:rsidP="00B73A46">
            <w:pPr>
              <w:jc w:val="center"/>
              <w:rPr>
                <w:sz w:val="22"/>
              </w:rPr>
            </w:pPr>
          </w:p>
        </w:tc>
        <w:tc>
          <w:tcPr>
            <w:tcW w:w="930" w:type="dxa"/>
            <w:tcBorders>
              <w:top w:val="single" w:sz="4" w:space="0" w:color="auto"/>
              <w:right w:val="single" w:sz="4" w:space="0" w:color="BFBFBF" w:themeColor="background1" w:themeShade="BF"/>
            </w:tcBorders>
            <w:vAlign w:val="bottom"/>
          </w:tcPr>
          <w:p w14:paraId="7572D226" w14:textId="77777777" w:rsidR="00B73A46" w:rsidRPr="001E6C3F" w:rsidRDefault="00B73A46" w:rsidP="00B73A46">
            <w:pPr>
              <w:jc w:val="center"/>
              <w:rPr>
                <w:sz w:val="22"/>
              </w:rPr>
            </w:pPr>
          </w:p>
        </w:tc>
        <w:tc>
          <w:tcPr>
            <w:tcW w:w="1166" w:type="dxa"/>
            <w:tcBorders>
              <w:top w:val="single" w:sz="4" w:space="0" w:color="auto"/>
              <w:left w:val="single" w:sz="4" w:space="0" w:color="BFBFBF" w:themeColor="background1" w:themeShade="BF"/>
              <w:right w:val="single" w:sz="4" w:space="0" w:color="BFBFBF" w:themeColor="background1" w:themeShade="BF"/>
            </w:tcBorders>
            <w:vAlign w:val="bottom"/>
          </w:tcPr>
          <w:p w14:paraId="50F4F410" w14:textId="77777777" w:rsidR="00B73A46" w:rsidRPr="001E6C3F" w:rsidRDefault="00B73A46" w:rsidP="00B73A46">
            <w:pPr>
              <w:jc w:val="center"/>
              <w:rPr>
                <w:sz w:val="22"/>
              </w:rPr>
            </w:pPr>
          </w:p>
        </w:tc>
        <w:tc>
          <w:tcPr>
            <w:tcW w:w="797" w:type="dxa"/>
            <w:tcBorders>
              <w:top w:val="single" w:sz="4" w:space="0" w:color="auto"/>
              <w:left w:val="single" w:sz="4" w:space="0" w:color="BFBFBF" w:themeColor="background1" w:themeShade="BF"/>
              <w:right w:val="single" w:sz="4" w:space="0" w:color="BFBFBF" w:themeColor="background1" w:themeShade="BF"/>
            </w:tcBorders>
            <w:vAlign w:val="bottom"/>
          </w:tcPr>
          <w:p w14:paraId="6043F82E" w14:textId="77777777" w:rsidR="00B73A46" w:rsidRPr="001E6C3F" w:rsidRDefault="00B73A46" w:rsidP="00B73A46">
            <w:pPr>
              <w:jc w:val="center"/>
              <w:rPr>
                <w:sz w:val="22"/>
              </w:rPr>
            </w:pPr>
          </w:p>
        </w:tc>
      </w:tr>
      <w:tr w:rsidR="00B73A46" w14:paraId="6FD66882" w14:textId="77777777" w:rsidTr="00B73A46">
        <w:tc>
          <w:tcPr>
            <w:tcW w:w="1615" w:type="dxa"/>
            <w:tcBorders>
              <w:left w:val="single" w:sz="4" w:space="0" w:color="BFBFBF" w:themeColor="background1" w:themeShade="BF"/>
              <w:right w:val="single" w:sz="4" w:space="0" w:color="BFBFBF" w:themeColor="background1" w:themeShade="BF"/>
            </w:tcBorders>
            <w:vAlign w:val="bottom"/>
          </w:tcPr>
          <w:p w14:paraId="2E2AEC0A" w14:textId="77777777" w:rsidR="00B73A46" w:rsidRPr="001E6C3F" w:rsidRDefault="00B73A46" w:rsidP="00B73A46">
            <w:pPr>
              <w:rPr>
                <w:sz w:val="22"/>
              </w:rPr>
            </w:pPr>
            <w:r w:rsidRPr="001E6C3F">
              <w:rPr>
                <w:sz w:val="22"/>
              </w:rPr>
              <w:t>Build compared to Existing</w:t>
            </w:r>
          </w:p>
        </w:tc>
        <w:tc>
          <w:tcPr>
            <w:tcW w:w="810" w:type="dxa"/>
            <w:tcBorders>
              <w:left w:val="single" w:sz="4" w:space="0" w:color="BFBFBF" w:themeColor="background1" w:themeShade="BF"/>
              <w:right w:val="single" w:sz="4" w:space="0" w:color="BFBFBF" w:themeColor="background1" w:themeShade="BF"/>
            </w:tcBorders>
            <w:vAlign w:val="bottom"/>
          </w:tcPr>
          <w:p w14:paraId="3FADFD6C" w14:textId="77777777" w:rsidR="00B73A46" w:rsidRPr="001E6C3F" w:rsidRDefault="00B73A46" w:rsidP="00B73A46">
            <w:pPr>
              <w:jc w:val="center"/>
              <w:rPr>
                <w:sz w:val="22"/>
              </w:rPr>
            </w:pPr>
          </w:p>
        </w:tc>
        <w:tc>
          <w:tcPr>
            <w:tcW w:w="900" w:type="dxa"/>
            <w:tcBorders>
              <w:left w:val="single" w:sz="4" w:space="0" w:color="BFBFBF" w:themeColor="background1" w:themeShade="BF"/>
            </w:tcBorders>
            <w:vAlign w:val="bottom"/>
          </w:tcPr>
          <w:p w14:paraId="10DFDE25" w14:textId="77777777" w:rsidR="00B73A46" w:rsidRPr="001E6C3F" w:rsidRDefault="00B73A46" w:rsidP="00B73A46">
            <w:pPr>
              <w:jc w:val="center"/>
              <w:rPr>
                <w:sz w:val="22"/>
              </w:rPr>
            </w:pPr>
          </w:p>
        </w:tc>
        <w:tc>
          <w:tcPr>
            <w:tcW w:w="900" w:type="dxa"/>
            <w:vAlign w:val="bottom"/>
          </w:tcPr>
          <w:p w14:paraId="7759F6F9" w14:textId="77777777" w:rsidR="00B73A46" w:rsidRPr="001E6C3F" w:rsidRDefault="00B73A46" w:rsidP="00B73A46">
            <w:pPr>
              <w:jc w:val="center"/>
              <w:rPr>
                <w:sz w:val="22"/>
              </w:rPr>
            </w:pPr>
          </w:p>
        </w:tc>
        <w:tc>
          <w:tcPr>
            <w:tcW w:w="900" w:type="dxa"/>
            <w:vAlign w:val="bottom"/>
          </w:tcPr>
          <w:p w14:paraId="51649DE0" w14:textId="77777777" w:rsidR="00B73A46" w:rsidRPr="001E6C3F" w:rsidRDefault="00B73A46" w:rsidP="00B73A46">
            <w:pPr>
              <w:jc w:val="center"/>
              <w:rPr>
                <w:sz w:val="22"/>
              </w:rPr>
            </w:pPr>
          </w:p>
        </w:tc>
        <w:tc>
          <w:tcPr>
            <w:tcW w:w="930" w:type="dxa"/>
            <w:vAlign w:val="bottom"/>
          </w:tcPr>
          <w:p w14:paraId="1C09781D" w14:textId="77777777" w:rsidR="00B73A46" w:rsidRPr="001E6C3F" w:rsidRDefault="00B73A46" w:rsidP="00B73A46">
            <w:pPr>
              <w:jc w:val="center"/>
              <w:rPr>
                <w:sz w:val="22"/>
              </w:rPr>
            </w:pPr>
          </w:p>
        </w:tc>
        <w:tc>
          <w:tcPr>
            <w:tcW w:w="930" w:type="dxa"/>
            <w:vAlign w:val="bottom"/>
          </w:tcPr>
          <w:p w14:paraId="3251ACEE" w14:textId="77777777" w:rsidR="00B73A46" w:rsidRPr="001E6C3F" w:rsidRDefault="00B73A46" w:rsidP="00B73A46">
            <w:pPr>
              <w:jc w:val="center"/>
              <w:rPr>
                <w:sz w:val="22"/>
              </w:rPr>
            </w:pPr>
          </w:p>
        </w:tc>
        <w:tc>
          <w:tcPr>
            <w:tcW w:w="930" w:type="dxa"/>
            <w:vAlign w:val="bottom"/>
          </w:tcPr>
          <w:p w14:paraId="0263E960" w14:textId="77777777" w:rsidR="00B73A46" w:rsidRPr="001E6C3F" w:rsidRDefault="00B73A46" w:rsidP="00B73A46">
            <w:pPr>
              <w:jc w:val="center"/>
              <w:rPr>
                <w:sz w:val="22"/>
              </w:rPr>
            </w:pPr>
          </w:p>
        </w:tc>
        <w:tc>
          <w:tcPr>
            <w:tcW w:w="900" w:type="dxa"/>
            <w:vAlign w:val="bottom"/>
          </w:tcPr>
          <w:p w14:paraId="4DFCC338" w14:textId="77777777" w:rsidR="00B73A46" w:rsidRPr="001E6C3F" w:rsidRDefault="00B73A46" w:rsidP="00B73A46">
            <w:pPr>
              <w:jc w:val="center"/>
              <w:rPr>
                <w:sz w:val="22"/>
              </w:rPr>
            </w:pPr>
          </w:p>
        </w:tc>
        <w:tc>
          <w:tcPr>
            <w:tcW w:w="930" w:type="dxa"/>
            <w:vAlign w:val="bottom"/>
          </w:tcPr>
          <w:p w14:paraId="74DA0FCA" w14:textId="77777777" w:rsidR="00B73A46" w:rsidRPr="001E6C3F" w:rsidRDefault="00B73A46" w:rsidP="00B73A46">
            <w:pPr>
              <w:jc w:val="center"/>
              <w:rPr>
                <w:sz w:val="22"/>
              </w:rPr>
            </w:pPr>
          </w:p>
        </w:tc>
        <w:tc>
          <w:tcPr>
            <w:tcW w:w="930" w:type="dxa"/>
            <w:tcBorders>
              <w:right w:val="single" w:sz="4" w:space="0" w:color="BFBFBF" w:themeColor="background1" w:themeShade="BF"/>
            </w:tcBorders>
            <w:vAlign w:val="bottom"/>
          </w:tcPr>
          <w:p w14:paraId="6C9C9E0F" w14:textId="77777777" w:rsidR="00B73A46" w:rsidRPr="001E6C3F" w:rsidRDefault="00B73A46" w:rsidP="00B73A46">
            <w:pPr>
              <w:jc w:val="center"/>
              <w:rPr>
                <w:sz w:val="22"/>
              </w:rPr>
            </w:pPr>
          </w:p>
        </w:tc>
        <w:tc>
          <w:tcPr>
            <w:tcW w:w="1166" w:type="dxa"/>
            <w:tcBorders>
              <w:left w:val="single" w:sz="4" w:space="0" w:color="BFBFBF" w:themeColor="background1" w:themeShade="BF"/>
              <w:right w:val="single" w:sz="4" w:space="0" w:color="BFBFBF" w:themeColor="background1" w:themeShade="BF"/>
            </w:tcBorders>
            <w:vAlign w:val="bottom"/>
          </w:tcPr>
          <w:p w14:paraId="4F689205" w14:textId="77777777" w:rsidR="00B73A46" w:rsidRPr="001E6C3F" w:rsidRDefault="00B73A46" w:rsidP="00B73A46">
            <w:pPr>
              <w:jc w:val="center"/>
              <w:rPr>
                <w:sz w:val="22"/>
              </w:rPr>
            </w:pPr>
          </w:p>
        </w:tc>
        <w:tc>
          <w:tcPr>
            <w:tcW w:w="797" w:type="dxa"/>
            <w:tcBorders>
              <w:left w:val="single" w:sz="4" w:space="0" w:color="BFBFBF" w:themeColor="background1" w:themeShade="BF"/>
              <w:right w:val="single" w:sz="4" w:space="0" w:color="BFBFBF" w:themeColor="background1" w:themeShade="BF"/>
            </w:tcBorders>
            <w:vAlign w:val="bottom"/>
          </w:tcPr>
          <w:p w14:paraId="79B6AB4B" w14:textId="77777777" w:rsidR="00B73A46" w:rsidRPr="001E6C3F" w:rsidRDefault="00B73A46" w:rsidP="00B73A46">
            <w:pPr>
              <w:jc w:val="center"/>
              <w:rPr>
                <w:sz w:val="22"/>
              </w:rPr>
            </w:pPr>
          </w:p>
        </w:tc>
      </w:tr>
      <w:tr w:rsidR="00B73A46" w14:paraId="7DF896D2" w14:textId="77777777" w:rsidTr="00B73A46">
        <w:trPr>
          <w:trHeight w:val="296"/>
        </w:trPr>
        <w:tc>
          <w:tcPr>
            <w:tcW w:w="1615" w:type="dxa"/>
            <w:tcBorders>
              <w:left w:val="single" w:sz="4" w:space="0" w:color="BFBFBF" w:themeColor="background1" w:themeShade="BF"/>
              <w:right w:val="single" w:sz="4" w:space="0" w:color="BFBFBF" w:themeColor="background1" w:themeShade="BF"/>
            </w:tcBorders>
            <w:vAlign w:val="bottom"/>
          </w:tcPr>
          <w:p w14:paraId="0F7444A2" w14:textId="77777777" w:rsidR="00B73A46" w:rsidRPr="001E6C3F" w:rsidRDefault="00B73A46" w:rsidP="00B73A46">
            <w:pPr>
              <w:rPr>
                <w:sz w:val="22"/>
              </w:rPr>
            </w:pPr>
            <w:r w:rsidRPr="001E6C3F">
              <w:rPr>
                <w:sz w:val="22"/>
              </w:rPr>
              <w:t>Build compared to No Build</w:t>
            </w:r>
          </w:p>
        </w:tc>
        <w:tc>
          <w:tcPr>
            <w:tcW w:w="810" w:type="dxa"/>
            <w:tcBorders>
              <w:left w:val="single" w:sz="4" w:space="0" w:color="BFBFBF" w:themeColor="background1" w:themeShade="BF"/>
              <w:right w:val="single" w:sz="4" w:space="0" w:color="BFBFBF" w:themeColor="background1" w:themeShade="BF"/>
            </w:tcBorders>
            <w:vAlign w:val="bottom"/>
          </w:tcPr>
          <w:p w14:paraId="7A79A2A3" w14:textId="77777777" w:rsidR="00B73A46" w:rsidRPr="001E6C3F" w:rsidRDefault="00B73A46" w:rsidP="00B73A46">
            <w:pPr>
              <w:jc w:val="center"/>
              <w:rPr>
                <w:sz w:val="22"/>
              </w:rPr>
            </w:pPr>
          </w:p>
        </w:tc>
        <w:tc>
          <w:tcPr>
            <w:tcW w:w="900" w:type="dxa"/>
            <w:tcBorders>
              <w:left w:val="single" w:sz="4" w:space="0" w:color="BFBFBF" w:themeColor="background1" w:themeShade="BF"/>
            </w:tcBorders>
            <w:vAlign w:val="bottom"/>
          </w:tcPr>
          <w:p w14:paraId="2761325D" w14:textId="77777777" w:rsidR="00B73A46" w:rsidRPr="001E6C3F" w:rsidRDefault="00B73A46" w:rsidP="00B73A46">
            <w:pPr>
              <w:jc w:val="center"/>
              <w:rPr>
                <w:sz w:val="22"/>
              </w:rPr>
            </w:pPr>
          </w:p>
        </w:tc>
        <w:tc>
          <w:tcPr>
            <w:tcW w:w="900" w:type="dxa"/>
            <w:vAlign w:val="bottom"/>
          </w:tcPr>
          <w:p w14:paraId="56D5EA08" w14:textId="77777777" w:rsidR="00B73A46" w:rsidRPr="001E6C3F" w:rsidRDefault="00B73A46" w:rsidP="00B73A46">
            <w:pPr>
              <w:jc w:val="center"/>
              <w:rPr>
                <w:sz w:val="22"/>
              </w:rPr>
            </w:pPr>
          </w:p>
        </w:tc>
        <w:tc>
          <w:tcPr>
            <w:tcW w:w="900" w:type="dxa"/>
            <w:vAlign w:val="bottom"/>
          </w:tcPr>
          <w:p w14:paraId="67802359" w14:textId="77777777" w:rsidR="00B73A46" w:rsidRPr="001E6C3F" w:rsidRDefault="00B73A46" w:rsidP="00B73A46">
            <w:pPr>
              <w:jc w:val="center"/>
              <w:rPr>
                <w:sz w:val="22"/>
              </w:rPr>
            </w:pPr>
          </w:p>
        </w:tc>
        <w:tc>
          <w:tcPr>
            <w:tcW w:w="930" w:type="dxa"/>
            <w:vAlign w:val="bottom"/>
          </w:tcPr>
          <w:p w14:paraId="39D9037F" w14:textId="77777777" w:rsidR="00B73A46" w:rsidRPr="001E6C3F" w:rsidRDefault="00B73A46" w:rsidP="00B73A46">
            <w:pPr>
              <w:jc w:val="center"/>
              <w:rPr>
                <w:sz w:val="22"/>
              </w:rPr>
            </w:pPr>
          </w:p>
        </w:tc>
        <w:tc>
          <w:tcPr>
            <w:tcW w:w="930" w:type="dxa"/>
            <w:vAlign w:val="bottom"/>
          </w:tcPr>
          <w:p w14:paraId="5567E3C5" w14:textId="77777777" w:rsidR="00B73A46" w:rsidRPr="001E6C3F" w:rsidRDefault="00B73A46" w:rsidP="00B73A46">
            <w:pPr>
              <w:jc w:val="center"/>
              <w:rPr>
                <w:sz w:val="22"/>
              </w:rPr>
            </w:pPr>
          </w:p>
        </w:tc>
        <w:tc>
          <w:tcPr>
            <w:tcW w:w="930" w:type="dxa"/>
            <w:vAlign w:val="bottom"/>
          </w:tcPr>
          <w:p w14:paraId="0D99E518" w14:textId="77777777" w:rsidR="00B73A46" w:rsidRPr="001E6C3F" w:rsidRDefault="00B73A46" w:rsidP="00B73A46">
            <w:pPr>
              <w:jc w:val="center"/>
              <w:rPr>
                <w:sz w:val="22"/>
              </w:rPr>
            </w:pPr>
          </w:p>
        </w:tc>
        <w:tc>
          <w:tcPr>
            <w:tcW w:w="900" w:type="dxa"/>
            <w:vAlign w:val="bottom"/>
          </w:tcPr>
          <w:p w14:paraId="63F68C1A" w14:textId="77777777" w:rsidR="00B73A46" w:rsidRPr="001E6C3F" w:rsidRDefault="00B73A46" w:rsidP="00B73A46">
            <w:pPr>
              <w:jc w:val="center"/>
              <w:rPr>
                <w:sz w:val="22"/>
              </w:rPr>
            </w:pPr>
          </w:p>
        </w:tc>
        <w:tc>
          <w:tcPr>
            <w:tcW w:w="930" w:type="dxa"/>
            <w:vAlign w:val="bottom"/>
          </w:tcPr>
          <w:p w14:paraId="0469BF1B" w14:textId="77777777" w:rsidR="00B73A46" w:rsidRPr="001E6C3F" w:rsidRDefault="00B73A46" w:rsidP="00B73A46">
            <w:pPr>
              <w:jc w:val="center"/>
              <w:rPr>
                <w:sz w:val="22"/>
              </w:rPr>
            </w:pPr>
          </w:p>
        </w:tc>
        <w:tc>
          <w:tcPr>
            <w:tcW w:w="930" w:type="dxa"/>
            <w:tcBorders>
              <w:right w:val="single" w:sz="4" w:space="0" w:color="BFBFBF" w:themeColor="background1" w:themeShade="BF"/>
            </w:tcBorders>
            <w:vAlign w:val="bottom"/>
          </w:tcPr>
          <w:p w14:paraId="67D5135F" w14:textId="77777777" w:rsidR="00B73A46" w:rsidRPr="001E6C3F" w:rsidRDefault="00B73A46" w:rsidP="00B73A46">
            <w:pPr>
              <w:jc w:val="center"/>
              <w:rPr>
                <w:sz w:val="22"/>
              </w:rPr>
            </w:pPr>
          </w:p>
        </w:tc>
        <w:tc>
          <w:tcPr>
            <w:tcW w:w="1166" w:type="dxa"/>
            <w:tcBorders>
              <w:left w:val="single" w:sz="4" w:space="0" w:color="BFBFBF" w:themeColor="background1" w:themeShade="BF"/>
              <w:right w:val="single" w:sz="4" w:space="0" w:color="BFBFBF" w:themeColor="background1" w:themeShade="BF"/>
            </w:tcBorders>
            <w:vAlign w:val="bottom"/>
          </w:tcPr>
          <w:p w14:paraId="745515ED" w14:textId="77777777" w:rsidR="00B73A46" w:rsidRPr="001E6C3F" w:rsidRDefault="00B73A46" w:rsidP="00B73A46">
            <w:pPr>
              <w:jc w:val="center"/>
              <w:rPr>
                <w:sz w:val="22"/>
              </w:rPr>
            </w:pPr>
          </w:p>
        </w:tc>
        <w:tc>
          <w:tcPr>
            <w:tcW w:w="797" w:type="dxa"/>
            <w:tcBorders>
              <w:left w:val="single" w:sz="4" w:space="0" w:color="BFBFBF" w:themeColor="background1" w:themeShade="BF"/>
              <w:right w:val="single" w:sz="4" w:space="0" w:color="BFBFBF" w:themeColor="background1" w:themeShade="BF"/>
            </w:tcBorders>
            <w:vAlign w:val="bottom"/>
          </w:tcPr>
          <w:p w14:paraId="7F370CF2" w14:textId="77777777" w:rsidR="00B73A46" w:rsidRPr="001E6C3F" w:rsidRDefault="00B73A46" w:rsidP="00B73A46">
            <w:pPr>
              <w:jc w:val="center"/>
              <w:rPr>
                <w:sz w:val="22"/>
              </w:rPr>
            </w:pPr>
          </w:p>
        </w:tc>
      </w:tr>
    </w:tbl>
    <w:p w14:paraId="44BF00AF" w14:textId="77777777" w:rsidR="00B73A46" w:rsidRDefault="00B73A46" w:rsidP="00B73A46">
      <w:pPr>
        <w:sectPr w:rsidR="00B73A46" w:rsidSect="00B73A46">
          <w:footerReference w:type="default" r:id="rId12"/>
          <w:pgSz w:w="15840" w:h="12240" w:orient="landscape"/>
          <w:pgMar w:top="1440" w:right="1440" w:bottom="1440" w:left="1440" w:header="720" w:footer="720" w:gutter="0"/>
          <w:cols w:space="720"/>
          <w:docGrid w:linePitch="360"/>
        </w:sectPr>
      </w:pPr>
    </w:p>
    <w:p w14:paraId="6E89FFEE" w14:textId="77777777" w:rsidR="00B73A46" w:rsidRDefault="00B73A46" w:rsidP="00B73A46"/>
    <w:p w14:paraId="01A851DD" w14:textId="4555B421" w:rsidR="00C33877" w:rsidRDefault="00C33877" w:rsidP="007C589D">
      <w:pPr>
        <w:pStyle w:val="Heading3"/>
      </w:pPr>
      <w:r>
        <w:t>Construction Effects</w:t>
      </w:r>
    </w:p>
    <w:p w14:paraId="4FF2C202" w14:textId="77777777" w:rsidR="00B73A46" w:rsidRPr="004B7E27" w:rsidRDefault="00B73A46" w:rsidP="00B73A46">
      <w:r w:rsidRPr="004B7E27">
        <w:t>Construction effects would be temporary, including fugitive dust from excavation and earth moving, and emissions from diesel-fueled construction equipment. WSDOT would implement best management practices (BMPs) to avoid or minimize potential effects on the environment.</w:t>
      </w:r>
    </w:p>
    <w:p w14:paraId="2F099A33" w14:textId="77777777" w:rsidR="00B73A46" w:rsidRPr="004B7E27" w:rsidRDefault="00B73A46" w:rsidP="00B73A46"/>
    <w:p w14:paraId="1E6D5758" w14:textId="77777777" w:rsidR="00B73A46" w:rsidRPr="003A41CE" w:rsidRDefault="00B73A46" w:rsidP="00B73A46">
      <w:r w:rsidRPr="004B7E27">
        <w:t xml:space="preserve">Greenhouse gas emissions </w:t>
      </w:r>
      <w:r w:rsidRPr="00525C59">
        <w:rPr>
          <w:i/>
          <w:color w:val="FF0000"/>
          <w:highlight w:val="yellow"/>
        </w:rPr>
        <w:t>[</w:t>
      </w:r>
      <w:r w:rsidRPr="000E5FEB">
        <w:rPr>
          <w:b/>
          <w:i/>
          <w:color w:val="FF0000"/>
          <w:highlight w:val="yellow"/>
        </w:rPr>
        <w:t>energy is only addressed in an EIS</w:t>
      </w:r>
      <w:r w:rsidRPr="00116F7B">
        <w:rPr>
          <w:color w:val="FF0000"/>
          <w:highlight w:val="yellow"/>
        </w:rPr>
        <w:t>]</w:t>
      </w:r>
      <w:r w:rsidRPr="00116F7B">
        <w:rPr>
          <w:color w:val="FF0000"/>
        </w:rPr>
        <w:t xml:space="preserve"> </w:t>
      </w:r>
      <w:r w:rsidRPr="00116F7B">
        <w:rPr>
          <w:highlight w:val="cyan"/>
        </w:rPr>
        <w:t>and energy consumed</w:t>
      </w:r>
      <w:r w:rsidRPr="004B7E27">
        <w:t xml:space="preserve"> during maintenance and project construction were quantitatively estimated (see Exhibit 4).</w:t>
      </w:r>
    </w:p>
    <w:p w14:paraId="63BC8303" w14:textId="77777777" w:rsidR="00B73A46" w:rsidRPr="003A41CE" w:rsidRDefault="00B73A46" w:rsidP="00B73A46"/>
    <w:p w14:paraId="51FB0532" w14:textId="77777777" w:rsidR="00B73A46" w:rsidRDefault="00B73A46" w:rsidP="00B73A46">
      <w:pPr>
        <w:pStyle w:val="ExhibitTitle"/>
      </w:pPr>
      <w:r w:rsidRPr="003A41CE">
        <w:t>Exhibit 4 – Project</w:t>
      </w:r>
      <w:r>
        <w:t xml:space="preserve"> Construction and Maintenance </w:t>
      </w:r>
      <w:r w:rsidRPr="00116F7B">
        <w:rPr>
          <w:highlight w:val="cyan"/>
        </w:rPr>
        <w:t>Energy and</w:t>
      </w:r>
      <w:r>
        <w:t xml:space="preserve"> GHG Emissions</w:t>
      </w:r>
    </w:p>
    <w:tbl>
      <w:tblPr>
        <w:tblStyle w:val="TableGrid"/>
        <w:tblW w:w="8005" w:type="dxa"/>
        <w:tblBorders>
          <w:top w:val="single" w:sz="12" w:space="0" w:color="auto"/>
          <w:left w:val="none" w:sz="0" w:space="0" w:color="auto"/>
          <w:bottom w:val="single" w:sz="12"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2695"/>
        <w:gridCol w:w="2610"/>
        <w:gridCol w:w="2700"/>
      </w:tblGrid>
      <w:tr w:rsidR="00B73A46" w:rsidRPr="0048164B" w14:paraId="4392ADD6" w14:textId="77777777" w:rsidTr="00B73A46">
        <w:trPr>
          <w:trHeight w:val="600"/>
        </w:trPr>
        <w:tc>
          <w:tcPr>
            <w:tcW w:w="2695" w:type="dxa"/>
            <w:tcBorders>
              <w:top w:val="single" w:sz="12" w:space="0" w:color="auto"/>
              <w:left w:val="nil"/>
              <w:bottom w:val="single" w:sz="12" w:space="0" w:color="auto"/>
              <w:right w:val="nil"/>
            </w:tcBorders>
            <w:vAlign w:val="center"/>
          </w:tcPr>
          <w:p w14:paraId="260339B7" w14:textId="77777777" w:rsidR="00B73A46" w:rsidRPr="00ED4E71" w:rsidRDefault="00B73A46" w:rsidP="00B73A46">
            <w:pPr>
              <w:spacing w:before="120" w:after="120"/>
              <w:rPr>
                <w:b/>
                <w:szCs w:val="24"/>
              </w:rPr>
            </w:pPr>
            <w:r>
              <w:rPr>
                <w:b/>
                <w:szCs w:val="24"/>
              </w:rPr>
              <w:t>Component</w:t>
            </w:r>
          </w:p>
        </w:tc>
        <w:tc>
          <w:tcPr>
            <w:tcW w:w="2610" w:type="dxa"/>
            <w:tcBorders>
              <w:top w:val="single" w:sz="12" w:space="0" w:color="auto"/>
              <w:left w:val="nil"/>
              <w:bottom w:val="single" w:sz="12" w:space="0" w:color="auto"/>
              <w:right w:val="nil"/>
            </w:tcBorders>
            <w:vAlign w:val="center"/>
          </w:tcPr>
          <w:p w14:paraId="64C9E032" w14:textId="77777777" w:rsidR="00B73A46" w:rsidRPr="00116F7B" w:rsidRDefault="00B73A46" w:rsidP="00B73A46">
            <w:pPr>
              <w:pStyle w:val="NormalWeb"/>
              <w:spacing w:before="120" w:after="120"/>
              <w:jc w:val="center"/>
              <w:rPr>
                <w:rFonts w:asciiTheme="majorHAnsi" w:eastAsiaTheme="minorHAnsi" w:hAnsiTheme="majorHAnsi"/>
                <w:b/>
                <w:highlight w:val="cyan"/>
              </w:rPr>
            </w:pPr>
            <w:r w:rsidRPr="00116F7B">
              <w:rPr>
                <w:rFonts w:asciiTheme="majorHAnsi" w:eastAsiaTheme="minorHAnsi" w:hAnsiTheme="majorHAnsi"/>
                <w:b/>
                <w:highlight w:val="cyan"/>
              </w:rPr>
              <w:t>Energy Use (MMBTU)</w:t>
            </w:r>
          </w:p>
        </w:tc>
        <w:tc>
          <w:tcPr>
            <w:tcW w:w="2700" w:type="dxa"/>
            <w:tcBorders>
              <w:top w:val="single" w:sz="12" w:space="0" w:color="auto"/>
              <w:left w:val="nil"/>
              <w:bottom w:val="single" w:sz="12" w:space="0" w:color="auto"/>
              <w:right w:val="nil"/>
            </w:tcBorders>
            <w:vAlign w:val="center"/>
          </w:tcPr>
          <w:p w14:paraId="2FAAB947" w14:textId="77777777" w:rsidR="00B73A46" w:rsidRPr="00ED4E71" w:rsidRDefault="00B73A46" w:rsidP="00B73A46">
            <w:pPr>
              <w:pStyle w:val="NormalWeb"/>
              <w:spacing w:before="120" w:after="120"/>
              <w:jc w:val="center"/>
              <w:rPr>
                <w:rFonts w:asciiTheme="majorHAnsi" w:eastAsiaTheme="minorHAnsi" w:hAnsiTheme="majorHAnsi"/>
                <w:b/>
              </w:rPr>
            </w:pPr>
            <w:r w:rsidRPr="00ED4E71">
              <w:rPr>
                <w:rFonts w:asciiTheme="majorHAnsi" w:eastAsiaTheme="minorHAnsi" w:hAnsiTheme="majorHAnsi"/>
                <w:b/>
              </w:rPr>
              <w:t>GHGs (MT)</w:t>
            </w:r>
          </w:p>
        </w:tc>
      </w:tr>
      <w:tr w:rsidR="00B73A46" w:rsidRPr="001E6C3F" w14:paraId="7E045B35" w14:textId="77777777" w:rsidTr="00B73A46">
        <w:tc>
          <w:tcPr>
            <w:tcW w:w="2695" w:type="dxa"/>
            <w:tcBorders>
              <w:top w:val="single" w:sz="4" w:space="0" w:color="auto"/>
              <w:left w:val="nil"/>
              <w:right w:val="nil"/>
            </w:tcBorders>
            <w:vAlign w:val="center"/>
          </w:tcPr>
          <w:p w14:paraId="6D23CACC" w14:textId="77777777" w:rsidR="00B73A46" w:rsidRPr="00116F7B" w:rsidRDefault="00B73A46" w:rsidP="00B73A46">
            <w:pPr>
              <w:spacing w:before="120" w:after="120"/>
              <w:rPr>
                <w:szCs w:val="24"/>
                <w:highlight w:val="cyan"/>
              </w:rPr>
            </w:pPr>
            <w:r w:rsidRPr="00116F7B">
              <w:rPr>
                <w:szCs w:val="24"/>
                <w:highlight w:val="cyan"/>
              </w:rPr>
              <w:t>Bridges and Overpasses</w:t>
            </w:r>
          </w:p>
        </w:tc>
        <w:tc>
          <w:tcPr>
            <w:tcW w:w="2610" w:type="dxa"/>
            <w:tcBorders>
              <w:top w:val="single" w:sz="4" w:space="0" w:color="auto"/>
              <w:left w:val="nil"/>
              <w:right w:val="nil"/>
            </w:tcBorders>
            <w:vAlign w:val="center"/>
          </w:tcPr>
          <w:p w14:paraId="1127EF12" w14:textId="77777777" w:rsidR="00B73A46" w:rsidRPr="00116F7B" w:rsidRDefault="00B73A46" w:rsidP="00B73A46">
            <w:pPr>
              <w:spacing w:before="120" w:after="120"/>
              <w:jc w:val="center"/>
              <w:rPr>
                <w:szCs w:val="24"/>
                <w:highlight w:val="cyan"/>
              </w:rPr>
            </w:pPr>
          </w:p>
        </w:tc>
        <w:tc>
          <w:tcPr>
            <w:tcW w:w="2700" w:type="dxa"/>
            <w:tcBorders>
              <w:top w:val="single" w:sz="4" w:space="0" w:color="auto"/>
              <w:left w:val="nil"/>
              <w:right w:val="nil"/>
            </w:tcBorders>
            <w:vAlign w:val="center"/>
          </w:tcPr>
          <w:p w14:paraId="440B3BDD" w14:textId="77777777" w:rsidR="00B73A46" w:rsidRPr="00ED4E71" w:rsidRDefault="00B73A46" w:rsidP="00B73A46">
            <w:pPr>
              <w:spacing w:before="120" w:after="120"/>
              <w:jc w:val="center"/>
              <w:rPr>
                <w:szCs w:val="24"/>
              </w:rPr>
            </w:pPr>
          </w:p>
        </w:tc>
      </w:tr>
      <w:tr w:rsidR="00B73A46" w:rsidRPr="001E6C3F" w14:paraId="0BCB060C" w14:textId="77777777" w:rsidTr="00B73A46">
        <w:tc>
          <w:tcPr>
            <w:tcW w:w="2695" w:type="dxa"/>
            <w:tcBorders>
              <w:left w:val="nil"/>
              <w:right w:val="nil"/>
            </w:tcBorders>
            <w:vAlign w:val="center"/>
          </w:tcPr>
          <w:p w14:paraId="082BFCDD" w14:textId="77777777" w:rsidR="00B73A46" w:rsidRPr="00116F7B" w:rsidRDefault="00B73A46" w:rsidP="00B73A46">
            <w:pPr>
              <w:spacing w:before="120" w:after="120"/>
              <w:rPr>
                <w:szCs w:val="24"/>
                <w:highlight w:val="cyan"/>
              </w:rPr>
            </w:pPr>
            <w:r w:rsidRPr="00116F7B">
              <w:rPr>
                <w:szCs w:val="24"/>
                <w:highlight w:val="cyan"/>
              </w:rPr>
              <w:t>Lighting</w:t>
            </w:r>
          </w:p>
        </w:tc>
        <w:tc>
          <w:tcPr>
            <w:tcW w:w="2610" w:type="dxa"/>
            <w:tcBorders>
              <w:left w:val="nil"/>
              <w:right w:val="nil"/>
            </w:tcBorders>
            <w:vAlign w:val="center"/>
          </w:tcPr>
          <w:p w14:paraId="1A906076" w14:textId="77777777" w:rsidR="00B73A46" w:rsidRPr="00116F7B" w:rsidRDefault="00B73A46" w:rsidP="00B73A46">
            <w:pPr>
              <w:spacing w:before="120" w:after="120"/>
              <w:jc w:val="center"/>
              <w:rPr>
                <w:szCs w:val="24"/>
                <w:highlight w:val="cyan"/>
              </w:rPr>
            </w:pPr>
          </w:p>
        </w:tc>
        <w:tc>
          <w:tcPr>
            <w:tcW w:w="2700" w:type="dxa"/>
            <w:tcBorders>
              <w:left w:val="nil"/>
              <w:right w:val="nil"/>
            </w:tcBorders>
            <w:vAlign w:val="center"/>
          </w:tcPr>
          <w:p w14:paraId="2FD14EDB" w14:textId="77777777" w:rsidR="00B73A46" w:rsidRPr="00ED4E71" w:rsidRDefault="00B73A46" w:rsidP="00B73A46">
            <w:pPr>
              <w:spacing w:before="120" w:after="120"/>
              <w:jc w:val="center"/>
              <w:rPr>
                <w:szCs w:val="24"/>
              </w:rPr>
            </w:pPr>
          </w:p>
        </w:tc>
      </w:tr>
      <w:tr w:rsidR="00B73A46" w:rsidRPr="001E6C3F" w14:paraId="7954A5D9" w14:textId="77777777" w:rsidTr="00B73A46">
        <w:tc>
          <w:tcPr>
            <w:tcW w:w="2695" w:type="dxa"/>
            <w:tcBorders>
              <w:left w:val="nil"/>
              <w:right w:val="nil"/>
            </w:tcBorders>
            <w:vAlign w:val="center"/>
          </w:tcPr>
          <w:p w14:paraId="06B3AFB6" w14:textId="77777777" w:rsidR="00B73A46" w:rsidRPr="00116F7B" w:rsidRDefault="00B73A46" w:rsidP="00B73A46">
            <w:pPr>
              <w:spacing w:before="120" w:after="120"/>
              <w:rPr>
                <w:szCs w:val="24"/>
                <w:highlight w:val="cyan"/>
              </w:rPr>
            </w:pPr>
            <w:r w:rsidRPr="00116F7B">
              <w:rPr>
                <w:szCs w:val="24"/>
                <w:highlight w:val="cyan"/>
              </w:rPr>
              <w:t>Pathways</w:t>
            </w:r>
          </w:p>
        </w:tc>
        <w:tc>
          <w:tcPr>
            <w:tcW w:w="2610" w:type="dxa"/>
            <w:tcBorders>
              <w:left w:val="nil"/>
              <w:right w:val="nil"/>
            </w:tcBorders>
            <w:vAlign w:val="center"/>
          </w:tcPr>
          <w:p w14:paraId="3668992F" w14:textId="77777777" w:rsidR="00B73A46" w:rsidRPr="00116F7B" w:rsidRDefault="00B73A46" w:rsidP="00B73A46">
            <w:pPr>
              <w:spacing w:before="120" w:after="120"/>
              <w:jc w:val="center"/>
              <w:rPr>
                <w:szCs w:val="24"/>
                <w:highlight w:val="cyan"/>
              </w:rPr>
            </w:pPr>
          </w:p>
        </w:tc>
        <w:tc>
          <w:tcPr>
            <w:tcW w:w="2700" w:type="dxa"/>
            <w:tcBorders>
              <w:left w:val="nil"/>
              <w:right w:val="nil"/>
            </w:tcBorders>
            <w:vAlign w:val="center"/>
          </w:tcPr>
          <w:p w14:paraId="65C95F29" w14:textId="77777777" w:rsidR="00B73A46" w:rsidRPr="00ED4E71" w:rsidRDefault="00B73A46" w:rsidP="00B73A46">
            <w:pPr>
              <w:spacing w:before="120" w:after="120"/>
              <w:jc w:val="center"/>
              <w:rPr>
                <w:szCs w:val="24"/>
              </w:rPr>
            </w:pPr>
          </w:p>
        </w:tc>
      </w:tr>
      <w:tr w:rsidR="00B73A46" w:rsidRPr="001E6C3F" w14:paraId="5EDA5D09" w14:textId="77777777" w:rsidTr="00B73A46">
        <w:tc>
          <w:tcPr>
            <w:tcW w:w="2695" w:type="dxa"/>
            <w:tcBorders>
              <w:left w:val="nil"/>
              <w:bottom w:val="single" w:sz="4" w:space="0" w:color="auto"/>
              <w:right w:val="nil"/>
            </w:tcBorders>
            <w:vAlign w:val="center"/>
          </w:tcPr>
          <w:p w14:paraId="3F6B5CA2" w14:textId="77777777" w:rsidR="00B73A46" w:rsidRPr="00116F7B" w:rsidRDefault="00B73A46" w:rsidP="00B73A46">
            <w:pPr>
              <w:spacing w:before="120" w:after="120"/>
              <w:rPr>
                <w:szCs w:val="24"/>
                <w:highlight w:val="cyan"/>
              </w:rPr>
            </w:pPr>
            <w:r w:rsidRPr="00116F7B">
              <w:rPr>
                <w:szCs w:val="24"/>
                <w:highlight w:val="cyan"/>
              </w:rPr>
              <w:t>Roadways</w:t>
            </w:r>
          </w:p>
        </w:tc>
        <w:tc>
          <w:tcPr>
            <w:tcW w:w="2610" w:type="dxa"/>
            <w:tcBorders>
              <w:left w:val="nil"/>
              <w:bottom w:val="single" w:sz="4" w:space="0" w:color="auto"/>
              <w:right w:val="nil"/>
            </w:tcBorders>
            <w:vAlign w:val="center"/>
          </w:tcPr>
          <w:p w14:paraId="14CD94C9" w14:textId="77777777" w:rsidR="00B73A46" w:rsidRPr="00116F7B" w:rsidRDefault="00B73A46" w:rsidP="00B73A46">
            <w:pPr>
              <w:spacing w:before="120" w:after="120"/>
              <w:jc w:val="center"/>
              <w:rPr>
                <w:szCs w:val="24"/>
                <w:highlight w:val="cyan"/>
              </w:rPr>
            </w:pPr>
          </w:p>
        </w:tc>
        <w:tc>
          <w:tcPr>
            <w:tcW w:w="2700" w:type="dxa"/>
            <w:tcBorders>
              <w:left w:val="nil"/>
              <w:bottom w:val="single" w:sz="4" w:space="0" w:color="auto"/>
              <w:right w:val="nil"/>
            </w:tcBorders>
            <w:vAlign w:val="center"/>
          </w:tcPr>
          <w:p w14:paraId="2DD1A602" w14:textId="77777777" w:rsidR="00B73A46" w:rsidRPr="00ED4E71" w:rsidRDefault="00B73A46" w:rsidP="00B73A46">
            <w:pPr>
              <w:spacing w:before="120" w:after="120"/>
              <w:jc w:val="center"/>
              <w:rPr>
                <w:szCs w:val="24"/>
              </w:rPr>
            </w:pPr>
          </w:p>
        </w:tc>
      </w:tr>
      <w:tr w:rsidR="00B73A46" w:rsidRPr="001E6C3F" w14:paraId="46EE8615" w14:textId="77777777" w:rsidTr="00B73A46">
        <w:trPr>
          <w:trHeight w:val="296"/>
        </w:trPr>
        <w:tc>
          <w:tcPr>
            <w:tcW w:w="2695" w:type="dxa"/>
            <w:tcBorders>
              <w:top w:val="single" w:sz="4" w:space="0" w:color="auto"/>
              <w:left w:val="nil"/>
              <w:bottom w:val="single" w:sz="12" w:space="0" w:color="auto"/>
              <w:right w:val="nil"/>
            </w:tcBorders>
            <w:vAlign w:val="center"/>
          </w:tcPr>
          <w:p w14:paraId="7A3018F4" w14:textId="77777777" w:rsidR="00B73A46" w:rsidRPr="00ED4E71" w:rsidRDefault="00B73A46" w:rsidP="00B73A46">
            <w:pPr>
              <w:spacing w:before="120" w:after="120"/>
              <w:rPr>
                <w:szCs w:val="24"/>
              </w:rPr>
            </w:pPr>
            <w:r w:rsidRPr="00326D97">
              <w:rPr>
                <w:szCs w:val="24"/>
              </w:rPr>
              <w:t>Total</w:t>
            </w:r>
          </w:p>
        </w:tc>
        <w:tc>
          <w:tcPr>
            <w:tcW w:w="2610" w:type="dxa"/>
            <w:tcBorders>
              <w:top w:val="single" w:sz="4" w:space="0" w:color="auto"/>
              <w:left w:val="nil"/>
              <w:bottom w:val="single" w:sz="12" w:space="0" w:color="auto"/>
              <w:right w:val="nil"/>
            </w:tcBorders>
            <w:vAlign w:val="bottom"/>
          </w:tcPr>
          <w:p w14:paraId="223A3E0E" w14:textId="77777777" w:rsidR="00B73A46" w:rsidRPr="00116F7B" w:rsidRDefault="00B73A46" w:rsidP="00B73A46">
            <w:pPr>
              <w:spacing w:before="120" w:after="120"/>
              <w:jc w:val="center"/>
              <w:rPr>
                <w:szCs w:val="24"/>
                <w:highlight w:val="cyan"/>
              </w:rPr>
            </w:pPr>
          </w:p>
        </w:tc>
        <w:tc>
          <w:tcPr>
            <w:tcW w:w="2700" w:type="dxa"/>
            <w:tcBorders>
              <w:top w:val="single" w:sz="4" w:space="0" w:color="auto"/>
              <w:left w:val="nil"/>
              <w:bottom w:val="single" w:sz="12" w:space="0" w:color="auto"/>
              <w:right w:val="nil"/>
            </w:tcBorders>
            <w:vAlign w:val="bottom"/>
          </w:tcPr>
          <w:p w14:paraId="2F6B6AD7" w14:textId="77777777" w:rsidR="00B73A46" w:rsidRPr="00ED4E71" w:rsidRDefault="00B73A46" w:rsidP="00B73A46">
            <w:pPr>
              <w:spacing w:before="120" w:after="120"/>
              <w:jc w:val="center"/>
              <w:rPr>
                <w:szCs w:val="24"/>
              </w:rPr>
            </w:pPr>
          </w:p>
        </w:tc>
      </w:tr>
    </w:tbl>
    <w:tbl>
      <w:tblPr>
        <w:tblW w:w="7989" w:type="dxa"/>
        <w:tblBorders>
          <w:top w:val="single" w:sz="4" w:space="0" w:color="BFBFBF" w:themeColor="background1" w:themeShade="BF"/>
        </w:tblBorders>
        <w:tblLook w:val="04A0" w:firstRow="1" w:lastRow="0" w:firstColumn="1" w:lastColumn="0" w:noHBand="0" w:noVBand="1"/>
      </w:tblPr>
      <w:tblGrid>
        <w:gridCol w:w="7989"/>
      </w:tblGrid>
      <w:tr w:rsidR="00B73A46" w14:paraId="150BDA1D" w14:textId="77777777" w:rsidTr="00B73A46">
        <w:trPr>
          <w:trHeight w:val="457"/>
        </w:trPr>
        <w:tc>
          <w:tcPr>
            <w:tcW w:w="7989" w:type="dxa"/>
            <w:vAlign w:val="center"/>
          </w:tcPr>
          <w:p w14:paraId="479AB483" w14:textId="77777777" w:rsidR="00B73A46" w:rsidRPr="006B326A" w:rsidRDefault="00B73A46" w:rsidP="00B73A46">
            <w:pPr>
              <w:spacing w:before="120" w:after="120"/>
              <w:rPr>
                <w:i/>
                <w:szCs w:val="24"/>
              </w:rPr>
            </w:pPr>
            <w:r w:rsidRPr="00426B65">
              <w:rPr>
                <w:b/>
                <w:sz w:val="20"/>
                <w:szCs w:val="20"/>
              </w:rPr>
              <w:t>Notes:</w:t>
            </w:r>
            <w:r w:rsidRPr="00426B65">
              <w:rPr>
                <w:sz w:val="20"/>
                <w:szCs w:val="20"/>
              </w:rPr>
              <w:t xml:space="preserve"> MMBTU= one million British Thermal Units</w:t>
            </w:r>
            <w:r>
              <w:rPr>
                <w:sz w:val="20"/>
                <w:szCs w:val="20"/>
              </w:rPr>
              <w:t xml:space="preserve">, </w:t>
            </w:r>
            <w:r w:rsidRPr="00426B65">
              <w:rPr>
                <w:sz w:val="20"/>
                <w:szCs w:val="20"/>
              </w:rPr>
              <w:t>MT= metric tons</w:t>
            </w:r>
          </w:p>
        </w:tc>
      </w:tr>
    </w:tbl>
    <w:p w14:paraId="03EC3F91" w14:textId="6E34C989" w:rsidR="00C33877" w:rsidRDefault="00C33877" w:rsidP="00D1703B"/>
    <w:p w14:paraId="7A248A7F" w14:textId="52CC82F7" w:rsidR="00C33877" w:rsidRDefault="00C33877" w:rsidP="00C33877">
      <w:pPr>
        <w:pStyle w:val="Heading2"/>
      </w:pPr>
      <w:bookmarkStart w:id="7" w:name="_Toc37412108"/>
      <w:r>
        <w:t>Measures to Avoid or Minimize Effects</w:t>
      </w:r>
      <w:bookmarkEnd w:id="7"/>
    </w:p>
    <w:p w14:paraId="0AC92FED" w14:textId="409BB264" w:rsidR="00C33877" w:rsidRDefault="00C33877" w:rsidP="00D1703B"/>
    <w:p w14:paraId="3017839D" w14:textId="017B4DD1" w:rsidR="00C33877" w:rsidRDefault="00C33877" w:rsidP="007C589D">
      <w:pPr>
        <w:pStyle w:val="Heading3"/>
      </w:pPr>
      <w:r>
        <w:t>Operational Measures</w:t>
      </w:r>
    </w:p>
    <w:p w14:paraId="1E737CE7" w14:textId="77777777" w:rsidR="00B73A46" w:rsidRPr="00525C59" w:rsidRDefault="00B73A46" w:rsidP="00B73A46">
      <w:pPr>
        <w:rPr>
          <w:i/>
          <w:color w:val="FF0000"/>
        </w:rPr>
      </w:pPr>
      <w:r w:rsidRPr="00525C59">
        <w:rPr>
          <w:i/>
          <w:color w:val="FF0000"/>
          <w:highlight w:val="yellow"/>
        </w:rPr>
        <w:t>[</w:t>
      </w:r>
      <w:r w:rsidRPr="000E5FEB">
        <w:rPr>
          <w:b/>
          <w:i/>
          <w:color w:val="FF0000"/>
          <w:highlight w:val="yellow"/>
        </w:rPr>
        <w:t>modify text to represent findings.]</w:t>
      </w:r>
      <w:r w:rsidRPr="00525C59">
        <w:rPr>
          <w:i/>
          <w:color w:val="FF0000"/>
        </w:rPr>
        <w:t xml:space="preserve"> </w:t>
      </w:r>
    </w:p>
    <w:p w14:paraId="4F8B69FB" w14:textId="77777777" w:rsidR="00B73A46" w:rsidRDefault="00B73A46" w:rsidP="00B73A46"/>
    <w:p w14:paraId="326DA7A3" w14:textId="77777777" w:rsidR="00B73A46" w:rsidRPr="004B7E27" w:rsidRDefault="00B73A46" w:rsidP="00B73A46">
      <w:r w:rsidRPr="004B7E27">
        <w:t xml:space="preserve">The project would not require mitigation measures during operation. </w:t>
      </w:r>
    </w:p>
    <w:p w14:paraId="33C4EFCF" w14:textId="77777777" w:rsidR="00B73A46" w:rsidRPr="004B7E27" w:rsidRDefault="00B73A46" w:rsidP="00B73A46"/>
    <w:p w14:paraId="253098A4" w14:textId="77777777" w:rsidR="00B73A46" w:rsidRPr="004B7E27" w:rsidRDefault="00B73A46" w:rsidP="00B73A46">
      <w:r w:rsidRPr="004B7E27">
        <w:t xml:space="preserve">No meaningful impacts on energy use, criteria pollutant, MSAT, or greenhouse gas emissions are predicted during operations, therefore no mitigation measures are proposed for operational conditions. </w:t>
      </w:r>
    </w:p>
    <w:p w14:paraId="72650BD0" w14:textId="6B1B4096" w:rsidR="00C33877" w:rsidRDefault="00C33877" w:rsidP="00D1703B"/>
    <w:p w14:paraId="0F89B0F5" w14:textId="1EB29BC4" w:rsidR="00C33877" w:rsidRDefault="00C33877" w:rsidP="007C589D">
      <w:pPr>
        <w:pStyle w:val="Heading3"/>
      </w:pPr>
      <w:r>
        <w:t>Construction Measures</w:t>
      </w:r>
    </w:p>
    <w:p w14:paraId="35C9BEAF" w14:textId="77777777" w:rsidR="00B73A46" w:rsidRPr="004B7E27" w:rsidRDefault="00B73A46" w:rsidP="00B73A46">
      <w:r w:rsidRPr="004B7E27">
        <w:t xml:space="preserve">Construction effects would be temporary, including fugitive dust from excavation and earth moving, and emissions from diesel-fueled construction equipment. WSDOT would </w:t>
      </w:r>
      <w:r w:rsidRPr="004B7E27">
        <w:lastRenderedPageBreak/>
        <w:t xml:space="preserve">implement best management practices (BMPs) to avoid or minimize potential effects on the environment. </w:t>
      </w:r>
    </w:p>
    <w:p w14:paraId="17A4FDFE" w14:textId="77777777" w:rsidR="00B73A46" w:rsidRPr="004B7E27" w:rsidRDefault="00B73A46" w:rsidP="00B73A46"/>
    <w:p w14:paraId="2FB0B884" w14:textId="77777777" w:rsidR="00B73A46" w:rsidRDefault="00B73A46" w:rsidP="00B73A46">
      <w:r w:rsidRPr="004B7E27">
        <w:t>The project traffic control plan will include detours and strategic construction timing (such as night work) to continue moving traffic through the area and reduce backups and delays to the traveling public to the extent possible. It is standard practice for WSDOT to set up active construction areas, staging areas, and material transfer sites in a way that reduces standing wait times for equipment during construction. WSDOT will also work with its partners to promote ridesharing and other commute trip reduction efforts for employees working on the project.</w:t>
      </w:r>
      <w:r w:rsidRPr="00BB5473">
        <w:t xml:space="preserve"> </w:t>
      </w:r>
    </w:p>
    <w:p w14:paraId="450E6C18" w14:textId="6AC5C6FD" w:rsidR="00C33877" w:rsidRDefault="00C33877" w:rsidP="00D1703B"/>
    <w:p w14:paraId="01D04FA9" w14:textId="08CF5EFE" w:rsidR="00C33877" w:rsidRDefault="00C33877" w:rsidP="00D1703B">
      <w:pPr>
        <w:pStyle w:val="Heading1"/>
      </w:pPr>
      <w:bookmarkStart w:id="8" w:name="_Toc37412109"/>
      <w:r>
        <w:t>Project Description</w:t>
      </w:r>
      <w:bookmarkEnd w:id="8"/>
    </w:p>
    <w:p w14:paraId="67FA35D8" w14:textId="77777777" w:rsidR="00B73A46" w:rsidRDefault="00B73A46" w:rsidP="00B73A46">
      <w:bookmarkStart w:id="9" w:name="_Toc37317475"/>
      <w:r w:rsidRPr="0087391B">
        <w:t xml:space="preserve">The purpose of the </w:t>
      </w:r>
      <w:r w:rsidRPr="00116F7B">
        <w:rPr>
          <w:highlight w:val="cyan"/>
        </w:rPr>
        <w:t>Project</w:t>
      </w:r>
      <w:r w:rsidRPr="0087391B">
        <w:t xml:space="preserve"> is to </w:t>
      </w:r>
      <w:r w:rsidRPr="00116F7B">
        <w:rPr>
          <w:highlight w:val="cyan"/>
        </w:rPr>
        <w:t>improve regional mobility of the transportation system to serve multimodal local and port freight movement and passenger movement. Furthermore, the project is intended to reduce congestion and improve safety on the arterials and intersections in the project area, improve system continuity, and maintain or improve air quality in the corridor. The need for the project is to enhance regional freight mobility, reduce congestion, improve safety, improve system continuity, and maintain or improve air quality.</w:t>
      </w:r>
      <w:bookmarkEnd w:id="9"/>
    </w:p>
    <w:p w14:paraId="6EFE7793" w14:textId="6F798EA4" w:rsidR="00C33877" w:rsidRDefault="00C33877" w:rsidP="00D1703B"/>
    <w:p w14:paraId="25622297" w14:textId="6798F0B6" w:rsidR="00C33877" w:rsidRDefault="00C33877" w:rsidP="00C33877">
      <w:pPr>
        <w:pStyle w:val="Heading2"/>
      </w:pPr>
      <w:bookmarkStart w:id="10" w:name="_Toc37412111"/>
      <w:r>
        <w:t>Project Description</w:t>
      </w:r>
      <w:bookmarkEnd w:id="10"/>
    </w:p>
    <w:p w14:paraId="10C55E5E" w14:textId="77777777" w:rsidR="00B73A46" w:rsidRDefault="00B73A46" w:rsidP="00B73A46">
      <w:r w:rsidRPr="0087391B">
        <w:t xml:space="preserve">The </w:t>
      </w:r>
      <w:r w:rsidRPr="00116F7B">
        <w:rPr>
          <w:highlight w:val="cyan"/>
        </w:rPr>
        <w:t>Project</w:t>
      </w:r>
      <w:r w:rsidRPr="0087391B">
        <w:t xml:space="preserve"> is within </w:t>
      </w:r>
      <w:r w:rsidRPr="00116F7B">
        <w:rPr>
          <w:highlight w:val="cyan"/>
        </w:rPr>
        <w:t>XX</w:t>
      </w:r>
      <w:r w:rsidRPr="0087391B">
        <w:t xml:space="preserve"> County in the cities of </w:t>
      </w:r>
      <w:r w:rsidRPr="00116F7B">
        <w:rPr>
          <w:highlight w:val="cyan"/>
        </w:rPr>
        <w:t>XX</w:t>
      </w:r>
      <w:r w:rsidRPr="0087391B">
        <w:t xml:space="preserve">. </w:t>
      </w:r>
      <w:r>
        <w:t>The Project will</w:t>
      </w:r>
      <w:r w:rsidRPr="00116F7B">
        <w:rPr>
          <w:color w:val="FF0000"/>
        </w:rPr>
        <w:t xml:space="preserve"> </w:t>
      </w:r>
      <w:r w:rsidRPr="00EF1F04">
        <w:rPr>
          <w:i/>
          <w:color w:val="FF0000"/>
          <w:highlight w:val="yellow"/>
        </w:rPr>
        <w:t>[</w:t>
      </w:r>
      <w:r w:rsidRPr="000E5FEB">
        <w:rPr>
          <w:b/>
          <w:i/>
          <w:color w:val="FF0000"/>
          <w:highlight w:val="yellow"/>
        </w:rPr>
        <w:t>List key project elements</w:t>
      </w:r>
      <w:r w:rsidRPr="00EF1F04">
        <w:rPr>
          <w:i/>
          <w:color w:val="FF0000"/>
          <w:highlight w:val="yellow"/>
        </w:rPr>
        <w:t>]</w:t>
      </w:r>
      <w:r w:rsidRPr="00116F7B">
        <w:rPr>
          <w:color w:val="FF0000"/>
        </w:rPr>
        <w:t xml:space="preserve"> </w:t>
      </w:r>
      <w:r w:rsidRPr="00116F7B">
        <w:rPr>
          <w:highlight w:val="cyan"/>
        </w:rPr>
        <w:t>build approximately XX miles of a new, 4-lane limited-access facility from X to X.</w:t>
      </w:r>
      <w:r w:rsidRPr="0087391B">
        <w:t xml:space="preserve"> </w:t>
      </w:r>
      <w:r>
        <w:t xml:space="preserve">Exhibit </w:t>
      </w:r>
      <w:r w:rsidRPr="00116F7B">
        <w:rPr>
          <w:highlight w:val="cyan"/>
        </w:rPr>
        <w:t>XX</w:t>
      </w:r>
      <w:r>
        <w:t xml:space="preserve"> </w:t>
      </w:r>
      <w:r w:rsidRPr="0087391B">
        <w:t xml:space="preserve">depicts the </w:t>
      </w:r>
      <w:r w:rsidRPr="00EF1F04">
        <w:rPr>
          <w:highlight w:val="cyan"/>
        </w:rPr>
        <w:t>Project</w:t>
      </w:r>
      <w:r w:rsidRPr="0087391B">
        <w:t xml:space="preserve"> Vicinity Map.</w:t>
      </w:r>
    </w:p>
    <w:p w14:paraId="7EC1EC8C" w14:textId="77777777" w:rsidR="00B73A46" w:rsidRDefault="00B73A46" w:rsidP="00B73A46"/>
    <w:p w14:paraId="709CC419" w14:textId="77777777" w:rsidR="00B73A46" w:rsidRPr="0087391B" w:rsidRDefault="00B73A46" w:rsidP="00B73A46">
      <w:pPr>
        <w:pStyle w:val="ExhibitTitle"/>
        <w:rPr>
          <w:caps/>
        </w:rPr>
      </w:pPr>
      <w:r w:rsidRPr="007C589D">
        <w:rPr>
          <w:highlight w:val="cyan"/>
        </w:rPr>
        <w:t>Exhibit XX</w:t>
      </w:r>
      <w:r>
        <w:t xml:space="preserve"> – Project Vicinity Map</w:t>
      </w:r>
    </w:p>
    <w:p w14:paraId="71576649" w14:textId="1EC1339F" w:rsidR="00C33877" w:rsidRDefault="00C33877" w:rsidP="00D1703B"/>
    <w:p w14:paraId="74E60A7D" w14:textId="329A02D0" w:rsidR="00C33877" w:rsidRDefault="00C33877" w:rsidP="00C33877">
      <w:pPr>
        <w:pStyle w:val="Heading2"/>
      </w:pPr>
      <w:bookmarkStart w:id="11" w:name="_Toc37412112"/>
      <w:r>
        <w:t>Project Construction</w:t>
      </w:r>
      <w:bookmarkEnd w:id="11"/>
    </w:p>
    <w:p w14:paraId="60C2840E" w14:textId="77777777" w:rsidR="00B73A46" w:rsidRDefault="00B73A46" w:rsidP="00B73A46">
      <w:r>
        <w:t xml:space="preserve">Construction of the project elements is expected to occur over a </w:t>
      </w:r>
      <w:r w:rsidRPr="00AA5A4A">
        <w:rPr>
          <w:highlight w:val="cyan"/>
        </w:rPr>
        <w:t>XX year period, beginning XX.</w:t>
      </w:r>
      <w:r>
        <w:t xml:space="preserve"> </w:t>
      </w:r>
      <w:r>
        <w:rPr>
          <w:w w:val="99"/>
        </w:rPr>
        <w:t>Construction effects on air quality, energy and greenhouse gas would occur primarily as a result of emissions from heavy-duty construction equipment (such as bulldozers, backhoes, and cranes), diesel-fueled mobile sources (such as trucks, brooms, and sweepers),</w:t>
      </w:r>
      <w:r w:rsidRPr="00EA192B">
        <w:t xml:space="preserve"> </w:t>
      </w:r>
      <w:r>
        <w:t>diesel- and gasoline-fueled generators, and on- and off-site project-related vehicles (such as service trucks and pickup trucks).  Fugitive dust (particulate matter) emissions are associated with demolition, land clearing, ground excavation, grading, cut-and-fill operations, and structure erection.</w:t>
      </w:r>
    </w:p>
    <w:p w14:paraId="2150ED39" w14:textId="77777777" w:rsidR="00B73A46" w:rsidRDefault="00B73A46" w:rsidP="00B73A46">
      <w:pPr>
        <w:rPr>
          <w:szCs w:val="24"/>
        </w:rPr>
      </w:pPr>
    </w:p>
    <w:p w14:paraId="38A958E8" w14:textId="77777777" w:rsidR="00B73A46" w:rsidRPr="00DC647E" w:rsidRDefault="00B73A46" w:rsidP="00B73A46">
      <w:pPr>
        <w:rPr>
          <w:szCs w:val="24"/>
        </w:rPr>
      </w:pPr>
      <w:r>
        <w:t xml:space="preserve">If construction traffic and lane closures increase congestion and reduce the speed of other vehicles in the area, emissions from traffic would increase temporarily while those vehicles </w:t>
      </w:r>
      <w:r>
        <w:lastRenderedPageBreak/>
        <w:t>are delayed.  These emissions would be temporary, and the effects of these emissions would generally be limited to the immediate area in which the congestion occurs.  Some construction stages (particularly those involving paving operations using asphalt) would result in short-term odors, which might be detectable by some people near the site, and they would be diluted as the distance from the site increases.</w:t>
      </w:r>
    </w:p>
    <w:p w14:paraId="596AC565" w14:textId="1D8A8471" w:rsidR="00C33877" w:rsidRDefault="00C33877" w:rsidP="00D1703B"/>
    <w:p w14:paraId="6607A01E" w14:textId="7CECBDA3" w:rsidR="00C33877" w:rsidRDefault="00C33877" w:rsidP="00C33877">
      <w:pPr>
        <w:pStyle w:val="Heading1"/>
      </w:pPr>
      <w:bookmarkStart w:id="12" w:name="_Toc37412113"/>
      <w:r>
        <w:t>Study Approach</w:t>
      </w:r>
      <w:bookmarkEnd w:id="12"/>
    </w:p>
    <w:p w14:paraId="35622909" w14:textId="77777777" w:rsidR="007C589D" w:rsidRPr="007A3C51" w:rsidRDefault="007C589D" w:rsidP="007C589D">
      <w:r w:rsidRPr="00AA5A4A">
        <w:t>The analyses performed for this project fulfill federal, state, and WSDOT requirements and follow standard guidance.</w:t>
      </w:r>
      <w:r>
        <w:t xml:space="preserve"> </w:t>
      </w:r>
    </w:p>
    <w:p w14:paraId="21340A22" w14:textId="190D577C" w:rsidR="007C589D" w:rsidRPr="007C589D" w:rsidRDefault="007C589D" w:rsidP="007C589D"/>
    <w:p w14:paraId="73BD2E3E" w14:textId="45BB0136" w:rsidR="00C33877" w:rsidRDefault="00C33877" w:rsidP="00C33877">
      <w:pPr>
        <w:pStyle w:val="Heading2"/>
      </w:pPr>
      <w:bookmarkStart w:id="13" w:name="_Toc37412114"/>
      <w:r>
        <w:t>Policies and Regulations</w:t>
      </w:r>
      <w:bookmarkEnd w:id="13"/>
    </w:p>
    <w:p w14:paraId="72815E30" w14:textId="77777777" w:rsidR="00B73A46" w:rsidRDefault="00B73A46" w:rsidP="00B73A46">
      <w:r>
        <w:t xml:space="preserve">The National Environmental Policy Act (NEPA) and Washington State Environmental Policy Act (SEPA) regulations require that environmental reviews include an evaluation of the effects of a proposed Project on air quality. </w:t>
      </w:r>
      <w:r w:rsidRPr="00AA5A4A">
        <w:rPr>
          <w:highlight w:val="cyan"/>
        </w:rPr>
        <w:t>In addition, FHWA requires energy use to be considered in EIS documents.</w:t>
      </w:r>
    </w:p>
    <w:p w14:paraId="68075AA3" w14:textId="77777777" w:rsidR="00B73A46" w:rsidRDefault="00B73A46" w:rsidP="00B73A46"/>
    <w:p w14:paraId="7D2CFB26" w14:textId="77777777" w:rsidR="00B73A46" w:rsidRPr="000E5FEB" w:rsidRDefault="00B73A46" w:rsidP="00B73A46">
      <w:pPr>
        <w:rPr>
          <w:b/>
          <w:i/>
          <w:sz w:val="22"/>
        </w:rPr>
      </w:pPr>
      <w:r>
        <w:t xml:space="preserve">The federal Clean Air Act (CAA) and its amendments, and the Washington State Clean Air Act currently regulate air quality in the state. The U.S. Environmental Protection Agency (EPA), Washington State Department of Ecology (Ecology), and </w:t>
      </w:r>
      <w:r w:rsidRPr="00AA5A4A">
        <w:rPr>
          <w:highlight w:val="cyan"/>
        </w:rPr>
        <w:t>Puget Sound Clean Air Agency (PSCAA)</w:t>
      </w:r>
      <w:r>
        <w:t xml:space="preserve"> enforce regulations developed to protect air quality</w:t>
      </w:r>
      <w:r w:rsidRPr="000E5FEB">
        <w:rPr>
          <w:b/>
        </w:rPr>
        <w:t xml:space="preserve">. </w:t>
      </w:r>
      <w:r w:rsidRPr="000E5FEB">
        <w:rPr>
          <w:b/>
          <w:i/>
          <w:color w:val="FF0000"/>
          <w:highlight w:val="yellow"/>
        </w:rPr>
        <w:t>If located in an area covered by an MPO, such as PSRC, add info…</w:t>
      </w:r>
    </w:p>
    <w:p w14:paraId="41ABDC23" w14:textId="77777777" w:rsidR="00B73A46" w:rsidRDefault="00B73A46" w:rsidP="00B73A46"/>
    <w:p w14:paraId="792903F4" w14:textId="77777777" w:rsidR="00B73A46" w:rsidRDefault="00B73A46" w:rsidP="00B73A46">
      <w:r>
        <w:t xml:space="preserve">EPA delegates authority to manage air quality issues to the states but </w:t>
      </w:r>
      <w:r w:rsidRPr="00B615C3">
        <w:t>sets the criteria for National Ambient Air Quality Standards (NAAQS) and conformity requirements</w:t>
      </w:r>
      <w:r>
        <w:t xml:space="preserve">. In Washington, </w:t>
      </w:r>
      <w:r w:rsidRPr="00B615C3">
        <w:t>Ecology oversee</w:t>
      </w:r>
      <w:r>
        <w:t>s</w:t>
      </w:r>
      <w:r w:rsidRPr="00B615C3">
        <w:t xml:space="preserve"> the development </w:t>
      </w:r>
      <w:r>
        <w:t xml:space="preserve">of </w:t>
      </w:r>
      <w:r w:rsidRPr="00B615C3">
        <w:t xml:space="preserve">and conformity </w:t>
      </w:r>
      <w:r>
        <w:t>to</w:t>
      </w:r>
      <w:r w:rsidRPr="00B615C3">
        <w:t xml:space="preserve"> the State Implementation Plan, which is the state’s plan for meeting and maintaining NAAQS. </w:t>
      </w:r>
      <w:r w:rsidRPr="00AA5A4A">
        <w:rPr>
          <w:highlight w:val="cyan"/>
        </w:rPr>
        <w:t>[PSCAA]</w:t>
      </w:r>
      <w:r w:rsidRPr="00B615C3">
        <w:t xml:space="preserve"> has local authority for setting regulations and permitting of stationary air pollutant sources and construction emissions.</w:t>
      </w:r>
    </w:p>
    <w:p w14:paraId="35898E4B" w14:textId="77777777" w:rsidR="00B73A46" w:rsidRDefault="00B73A46" w:rsidP="00B73A46"/>
    <w:p w14:paraId="7924A763" w14:textId="77777777" w:rsidR="00B73A46" w:rsidRDefault="00B73A46" w:rsidP="00B73A46">
      <w:r>
        <w:t xml:space="preserve">For the analysis of both operational and construction Project effects, WSDOT followed the agency’s </w:t>
      </w:r>
      <w:r w:rsidRPr="00986E03">
        <w:t>Environmental Manual</w:t>
      </w:r>
      <w:r>
        <w:t xml:space="preserve"> (WSDOT </w:t>
      </w:r>
      <w:r w:rsidRPr="00AA5A4A">
        <w:rPr>
          <w:highlight w:val="cyan"/>
        </w:rPr>
        <w:t>2019</w:t>
      </w:r>
      <w:r>
        <w:t xml:space="preserve">) for air </w:t>
      </w:r>
      <w:r w:rsidRPr="00303D6C">
        <w:t>quality and energy</w:t>
      </w:r>
      <w:r>
        <w:t xml:space="preserve"> for projects undergoing NEPA review. </w:t>
      </w:r>
      <w:r w:rsidRPr="00303D6C">
        <w:t xml:space="preserve">NEPA requires documenting and comparing air quality </w:t>
      </w:r>
      <w:r>
        <w:t xml:space="preserve">effects of project alternatives, </w:t>
      </w:r>
      <w:r w:rsidRPr="00303D6C">
        <w:t xml:space="preserve">evaluation of temporary construction emissions (fugitive dust), operational and construction greenhouse gas emissions (GHG), temporary construction emissions (fugitive dust), </w:t>
      </w:r>
      <w:r w:rsidRPr="00AA5A4A">
        <w:rPr>
          <w:highlight w:val="cyan"/>
        </w:rPr>
        <w:t>and energy use,</w:t>
      </w:r>
      <w:r w:rsidRPr="00303D6C">
        <w:t xml:space="preserve"> as described in the next sections.</w:t>
      </w:r>
    </w:p>
    <w:p w14:paraId="322A4DEF" w14:textId="05B33EB9" w:rsidR="00C33877" w:rsidRDefault="00C33877" w:rsidP="00D1703B"/>
    <w:p w14:paraId="487A0018" w14:textId="394807A6" w:rsidR="00C33877" w:rsidRDefault="00C33877" w:rsidP="007C589D">
      <w:pPr>
        <w:pStyle w:val="Heading3"/>
      </w:pPr>
      <w:r>
        <w:t>Criteria Pollutants</w:t>
      </w:r>
    </w:p>
    <w:p w14:paraId="27920992" w14:textId="77777777" w:rsidR="00B73A46" w:rsidRDefault="00B73A46" w:rsidP="00B73A46">
      <w:r w:rsidRPr="008F4788">
        <w:t>Under the CAA, EPA establishes NAAQS for six common pollutants, referred to as criteria pollutants: carbon monoxide (CO), lead, nitrogen dioxide (NO</w:t>
      </w:r>
      <w:r w:rsidRPr="008F4788">
        <w:rPr>
          <w:vertAlign w:val="subscript"/>
        </w:rPr>
        <w:t>2</w:t>
      </w:r>
      <w:r w:rsidRPr="008F4788">
        <w:t>), particulate matter (PM</w:t>
      </w:r>
      <w:r w:rsidRPr="008F4788">
        <w:rPr>
          <w:vertAlign w:val="subscript"/>
        </w:rPr>
        <w:t>10</w:t>
      </w:r>
      <w:r w:rsidRPr="008F4788">
        <w:t xml:space="preserve"> </w:t>
      </w:r>
      <w:r w:rsidRPr="008F4788">
        <w:lastRenderedPageBreak/>
        <w:t>and PM</w:t>
      </w:r>
      <w:r w:rsidRPr="008F4788">
        <w:rPr>
          <w:vertAlign w:val="subscript"/>
        </w:rPr>
        <w:t>2.5</w:t>
      </w:r>
      <w:r w:rsidRPr="008F4788">
        <w:t>), ozone, and sulfur dioxide (SO</w:t>
      </w:r>
      <w:r w:rsidRPr="008F4788">
        <w:rPr>
          <w:vertAlign w:val="subscript"/>
        </w:rPr>
        <w:t>2</w:t>
      </w:r>
      <w:r w:rsidRPr="008F4788">
        <w:t>) (EPA 2015a and 2015b). Lead and SO</w:t>
      </w:r>
      <w:r w:rsidRPr="008F4788">
        <w:rPr>
          <w:vertAlign w:val="subscript"/>
        </w:rPr>
        <w:t>2</w:t>
      </w:r>
      <w:r w:rsidRPr="008F4788">
        <w:t xml:space="preserve"> are not considered in this report because they are not pollutants of concern for transportation projects. Current NAAQS are listed in </w:t>
      </w:r>
      <w:r w:rsidRPr="008F4788">
        <w:rPr>
          <w:highlight w:val="cyan"/>
        </w:rPr>
        <w:t>Exhibit 10</w:t>
      </w:r>
      <w:r w:rsidRPr="008F4788">
        <w:t>.</w:t>
      </w:r>
    </w:p>
    <w:p w14:paraId="2885F89D" w14:textId="77777777" w:rsidR="00B73A46" w:rsidRDefault="00B73A46" w:rsidP="00B73A46"/>
    <w:p w14:paraId="369F58F5" w14:textId="77777777" w:rsidR="00B73A46" w:rsidRDefault="00B73A46" w:rsidP="00B73A46">
      <w:r w:rsidRPr="00B615C3">
        <w:t>The NAAQS are separated into two categories: Primary and Secondary standards (40 Code of Federal Regulations [CFR] 50). The Primary standards were created to protect public health; the Secondary pollutant standards were established to protect public welfare and the environment.</w:t>
      </w:r>
      <w:r w:rsidRPr="008F4788">
        <w:t xml:space="preserve"> </w:t>
      </w:r>
      <w:r w:rsidRPr="00B615C3">
        <w:t>Ecology and PSCAA have authority to adopt more stringent standards, although many of the state and local standards are equivalent to the federal mandate.</w:t>
      </w:r>
    </w:p>
    <w:p w14:paraId="1A247224" w14:textId="77777777" w:rsidR="00B73A46" w:rsidRPr="00B615C3" w:rsidRDefault="00B73A46" w:rsidP="00B73A46"/>
    <w:p w14:paraId="033B9F55" w14:textId="4386D4DB" w:rsidR="00B73A46" w:rsidRDefault="00B73A46" w:rsidP="00B73A46">
      <w:r w:rsidRPr="008F4788">
        <w:t>EPA may designate areas not in compliance with the NAAQS as nonattainment areas. An area remains a nonattainment area for that pollutant until monitored concentrations are in compliance with the NAAQS. After the NAAQS are attained and EPA redesigntes an area as attainment, the area must have a plan in place for 20 years to ensure maintenance of the air quality, a maintenance plan. These areas are often referred to as “maintenance areas,” although that is not an official designation. Through a conformity demonstration, federal projects in a nonattainment or maintenance area must demonstrate that they will not cause or contribute to a violation of the NAAQS. EPA sets requirements for how these conformity demonstration analyses are conducted.</w:t>
      </w:r>
    </w:p>
    <w:p w14:paraId="26A0B0F9" w14:textId="1A2A844C" w:rsidR="008972DC" w:rsidRDefault="008972DC" w:rsidP="00B73A46"/>
    <w:p w14:paraId="6C22253C" w14:textId="4C4FAC74" w:rsidR="008972DC" w:rsidRPr="008972DC" w:rsidRDefault="008972DC" w:rsidP="00B73A46">
      <w:pPr>
        <w:rPr>
          <w:highlight w:val="cyan"/>
        </w:rPr>
      </w:pPr>
      <w:r w:rsidRPr="008F4788">
        <w:rPr>
          <w:b/>
          <w:i/>
          <w:color w:val="FF0000"/>
          <w:highlight w:val="yellow"/>
        </w:rPr>
        <w:t xml:space="preserve">If the project is located in an attainment area that </w:t>
      </w:r>
      <w:r>
        <w:rPr>
          <w:b/>
          <w:i/>
          <w:color w:val="FF0000"/>
          <w:highlight w:val="yellow"/>
        </w:rPr>
        <w:t>is under a maintenance plan for:</w:t>
      </w:r>
      <w:r>
        <w:rPr>
          <w:b/>
          <w:i/>
          <w:color w:val="FF0000"/>
        </w:rPr>
        <w:t xml:space="preserve"> </w:t>
      </w:r>
      <w:r w:rsidRPr="008972DC">
        <w:rPr>
          <w:highlight w:val="cyan"/>
        </w:rPr>
        <w:t xml:space="preserve">The study area is located in an area that is currently designated as a maintenance area for </w:t>
      </w:r>
      <w:r>
        <w:rPr>
          <w:highlight w:val="cyan"/>
        </w:rPr>
        <w:t>CO</w:t>
      </w:r>
      <w:r w:rsidRPr="008972DC">
        <w:rPr>
          <w:highlight w:val="cyan"/>
        </w:rPr>
        <w:t xml:space="preserve">. In the past, the </w:t>
      </w:r>
      <w:r>
        <w:rPr>
          <w:highlight w:val="cyan"/>
        </w:rPr>
        <w:t>XXX</w:t>
      </w:r>
      <w:r w:rsidRPr="008972DC">
        <w:rPr>
          <w:highlight w:val="cyan"/>
        </w:rPr>
        <w:t xml:space="preserve"> area violated the PM</w:t>
      </w:r>
      <w:r w:rsidRPr="008972DC">
        <w:rPr>
          <w:highlight w:val="cyan"/>
          <w:vertAlign w:val="subscript"/>
        </w:rPr>
        <w:t>10</w:t>
      </w:r>
      <w:r w:rsidRPr="008972DC">
        <w:rPr>
          <w:highlight w:val="cyan"/>
        </w:rPr>
        <w:t xml:space="preserve"> and CO NAAQS. By 2005, the area had improved its air quality and EPA redesignated it as attaining the NAAQS for both pollutants. The area is currently under a maintenance plan for CO and a limited maintenance plan for PM</w:t>
      </w:r>
      <w:r w:rsidRPr="008972DC">
        <w:rPr>
          <w:highlight w:val="cyan"/>
          <w:vertAlign w:val="subscript"/>
        </w:rPr>
        <w:t>10</w:t>
      </w:r>
      <w:r w:rsidRPr="008972DC">
        <w:rPr>
          <w:highlight w:val="cyan"/>
        </w:rPr>
        <w:t>. A limited maintenance plan is a simpler plan that EPA allows in situations where there is very little chance of the area violating the standard. Both plans expire in 2025, at which time conform</w:t>
      </w:r>
      <w:r>
        <w:rPr>
          <w:highlight w:val="cyan"/>
        </w:rPr>
        <w:t>ity will no longer be required.</w:t>
      </w:r>
    </w:p>
    <w:p w14:paraId="215C2199" w14:textId="77777777" w:rsidR="00B73A46" w:rsidRPr="00D64FD7" w:rsidRDefault="00B73A46" w:rsidP="00B73A46">
      <w:pPr>
        <w:rPr>
          <w:highlight w:val="cyan"/>
        </w:rPr>
      </w:pPr>
    </w:p>
    <w:p w14:paraId="12E68C9F" w14:textId="77777777" w:rsidR="00B73A46" w:rsidRDefault="00B73A46" w:rsidP="00B73A46">
      <w:r w:rsidRPr="008F4788">
        <w:rPr>
          <w:b/>
          <w:i/>
          <w:color w:val="FF0000"/>
          <w:highlight w:val="yellow"/>
        </w:rPr>
        <w:t>If the project is located in an attainment area that was once maintenance for CO:</w:t>
      </w:r>
      <w:r>
        <w:rPr>
          <w:b/>
          <w:i/>
          <w:color w:val="FF0000"/>
        </w:rPr>
        <w:t xml:space="preserve"> </w:t>
      </w:r>
      <w:r w:rsidRPr="008F4788">
        <w:rPr>
          <w:highlight w:val="cyan"/>
        </w:rPr>
        <w:t>Transportation conformity is no longer required for CO because maintenance requirements for the area expired October 11, 2016 (EPA 2004).</w:t>
      </w:r>
      <w:r w:rsidRPr="008F4788">
        <w:t xml:space="preserve"> </w:t>
      </w:r>
    </w:p>
    <w:p w14:paraId="6524FE42" w14:textId="514482B5" w:rsidR="00B73A46" w:rsidRPr="00D64FD7" w:rsidRDefault="00B73A46" w:rsidP="00B73A46">
      <w:pPr>
        <w:rPr>
          <w:highlight w:val="cyan"/>
        </w:rPr>
      </w:pPr>
    </w:p>
    <w:p w14:paraId="573B2755" w14:textId="10FEB60E" w:rsidR="00B73A46" w:rsidRPr="00543CA3" w:rsidRDefault="00B73A46" w:rsidP="00B73A46">
      <w:pPr>
        <w:rPr>
          <w:highlight w:val="cyan"/>
        </w:rPr>
      </w:pPr>
      <w:r w:rsidRPr="00543CA3">
        <w:rPr>
          <w:highlight w:val="cyan"/>
        </w:rPr>
        <w:t xml:space="preserve">Transportation conformity for CO is demonstrated via a “hotspot” analysis that evaluates the pollutant concentration at intersections, which are the locations most likely to violate the standard. WSDOT uses the WA State Intersection Screening Tool (WASIST) to demonstrate CO conformity. This tool is based on emission factors from MOtor Vehicle Emission Simulator (MOVES2014) and has been approved by EPA for this purpose. </w:t>
      </w:r>
    </w:p>
    <w:p w14:paraId="1360BD4D" w14:textId="5496F030" w:rsidR="00B73A46" w:rsidRDefault="00B73A46" w:rsidP="00B73A46">
      <w:pPr>
        <w:rPr>
          <w:highlight w:val="green"/>
        </w:rPr>
      </w:pPr>
    </w:p>
    <w:p w14:paraId="3D893967" w14:textId="40C60C5F" w:rsidR="008972DC" w:rsidRPr="008972DC" w:rsidRDefault="008972DC" w:rsidP="00B73A46">
      <w:pPr>
        <w:rPr>
          <w:b/>
          <w:i/>
          <w:color w:val="FF0000"/>
          <w:highlight w:val="yellow"/>
        </w:rPr>
      </w:pPr>
      <w:r w:rsidRPr="008972DC">
        <w:rPr>
          <w:b/>
          <w:i/>
          <w:color w:val="FF0000"/>
          <w:highlight w:val="yellow"/>
        </w:rPr>
        <w:t>If the project is in a PM2.5 or PM10 maintenance area, include the following information.</w:t>
      </w:r>
    </w:p>
    <w:p w14:paraId="014AE926" w14:textId="77777777" w:rsidR="00B73A46" w:rsidRPr="00543CA3" w:rsidRDefault="00B73A46" w:rsidP="00B73A46">
      <w:pPr>
        <w:rPr>
          <w:highlight w:val="cyan"/>
        </w:rPr>
      </w:pPr>
      <w:r w:rsidRPr="00543CA3">
        <w:rPr>
          <w:highlight w:val="cyan"/>
        </w:rPr>
        <w:lastRenderedPageBreak/>
        <w:t>Only a project determined to be a “project of air quality concern” (POAQC) requires a PM</w:t>
      </w:r>
      <w:r w:rsidRPr="00543CA3">
        <w:rPr>
          <w:highlight w:val="cyan"/>
          <w:vertAlign w:val="subscript"/>
        </w:rPr>
        <w:t>10</w:t>
      </w:r>
      <w:r w:rsidRPr="00543CA3">
        <w:rPr>
          <w:highlight w:val="cyan"/>
        </w:rPr>
        <w:t xml:space="preserve"> hotspot analysis. If a project is determined not to be a POAQC, no hotspot analysis is needed and conformity can be completed qualitatively. </w:t>
      </w:r>
    </w:p>
    <w:p w14:paraId="31DF16CB" w14:textId="77777777" w:rsidR="00B73A46" w:rsidRPr="00543CA3" w:rsidRDefault="00B73A46" w:rsidP="00B73A46">
      <w:pPr>
        <w:rPr>
          <w:highlight w:val="cyan"/>
        </w:rPr>
      </w:pPr>
    </w:p>
    <w:p w14:paraId="567A483B" w14:textId="26DA5D7E" w:rsidR="00B73A46" w:rsidRPr="00543CA3" w:rsidRDefault="00B73A46" w:rsidP="00B73A46">
      <w:pPr>
        <w:rPr>
          <w:highlight w:val="cyan"/>
        </w:rPr>
      </w:pPr>
      <w:r w:rsidRPr="00543CA3">
        <w:rPr>
          <w:highlight w:val="cyan"/>
        </w:rPr>
        <w:t>Section 93.123(b)(1) of the conformity rule defines one category of projects that require a PM</w:t>
      </w:r>
      <w:r w:rsidRPr="00543CA3">
        <w:rPr>
          <w:highlight w:val="cyan"/>
          <w:vertAlign w:val="subscript"/>
        </w:rPr>
        <w:t>2.5</w:t>
      </w:r>
      <w:r w:rsidRPr="00543CA3">
        <w:rPr>
          <w:highlight w:val="cyan"/>
        </w:rPr>
        <w:t xml:space="preserve"> or PM</w:t>
      </w:r>
      <w:r w:rsidRPr="00543CA3">
        <w:rPr>
          <w:highlight w:val="cyan"/>
          <w:vertAlign w:val="subscript"/>
        </w:rPr>
        <w:t>10</w:t>
      </w:r>
      <w:r w:rsidRPr="00543CA3">
        <w:rPr>
          <w:highlight w:val="cyan"/>
        </w:rPr>
        <w:t xml:space="preserve"> hot-spot analysis as:</w:t>
      </w:r>
      <w:r w:rsidR="008972DC" w:rsidRPr="00543CA3">
        <w:rPr>
          <w:highlight w:val="cyan"/>
        </w:rPr>
        <w:t xml:space="preserve"> </w:t>
      </w:r>
      <w:r w:rsidR="008972DC" w:rsidRPr="008972DC">
        <w:rPr>
          <w:b/>
          <w:i/>
          <w:color w:val="FF0000"/>
          <w:highlight w:val="yellow"/>
        </w:rPr>
        <w:t>identify any applicable project types</w:t>
      </w:r>
      <w:r w:rsidRPr="00543CA3">
        <w:rPr>
          <w:highlight w:val="cyan"/>
        </w:rPr>
        <w:t xml:space="preserve"> “(i) New highway projects that have a significant number of diesel vehicles, and expanded highway projects that have a significant increase in the number of diesel vehicles.” The rule leaves it to the local consultation partners to decide what constitutes a significant number or increase of diesel vehicles. For the North Spokane Corridor project, the consultation partners consist of air quality and transportation staff from WSDOT, EPA, FHWA, FTA, Ecology, SRTC, and SRCAA. The partners determined that this project met the criteria to be a POAQC and requires a PM</w:t>
      </w:r>
      <w:r w:rsidRPr="00543CA3">
        <w:rPr>
          <w:highlight w:val="cyan"/>
          <w:vertAlign w:val="subscript"/>
        </w:rPr>
        <w:t>10</w:t>
      </w:r>
      <w:r w:rsidRPr="00543CA3">
        <w:rPr>
          <w:highlight w:val="cyan"/>
        </w:rPr>
        <w:t xml:space="preserve"> hotspot analysis. </w:t>
      </w:r>
    </w:p>
    <w:p w14:paraId="2C31E6A6" w14:textId="77777777" w:rsidR="00B73A46" w:rsidRPr="00543CA3" w:rsidRDefault="00B73A46" w:rsidP="00B73A46">
      <w:pPr>
        <w:rPr>
          <w:highlight w:val="cyan"/>
        </w:rPr>
      </w:pPr>
    </w:p>
    <w:p w14:paraId="116A3CFC" w14:textId="77777777" w:rsidR="00B73A46" w:rsidRDefault="00B73A46" w:rsidP="00B73A46">
      <w:r w:rsidRPr="00543CA3">
        <w:rPr>
          <w:highlight w:val="cyan"/>
        </w:rPr>
        <w:t>WSDOT followed EPA’s PM</w:t>
      </w:r>
      <w:r w:rsidRPr="00543CA3">
        <w:rPr>
          <w:highlight w:val="cyan"/>
          <w:vertAlign w:val="subscript"/>
        </w:rPr>
        <w:t>10</w:t>
      </w:r>
      <w:r w:rsidRPr="00543CA3">
        <w:rPr>
          <w:highlight w:val="cyan"/>
        </w:rPr>
        <w:t xml:space="preserve"> hotspot analysis guidelines</w:t>
      </w:r>
      <w:r w:rsidRPr="00543CA3">
        <w:rPr>
          <w:rStyle w:val="FootnoteReference"/>
          <w:highlight w:val="cyan"/>
        </w:rPr>
        <w:footnoteReference w:id="1"/>
      </w:r>
      <w:r w:rsidRPr="00543CA3">
        <w:rPr>
          <w:highlight w:val="cyan"/>
        </w:rPr>
        <w:t xml:space="preserve"> for completing this analysis using EPA’s MOVES and AERMOD models.</w:t>
      </w:r>
      <w:r>
        <w:t xml:space="preserve"> </w:t>
      </w:r>
    </w:p>
    <w:p w14:paraId="0DFD0C97" w14:textId="458B8F15" w:rsidR="00B73A46" w:rsidRDefault="00B73A46" w:rsidP="00B73A46">
      <w:pPr>
        <w:spacing w:after="200"/>
        <w:rPr>
          <w:b/>
        </w:rPr>
      </w:pPr>
      <w:bookmarkStart w:id="14" w:name="_Ref14764449"/>
      <w:bookmarkStart w:id="15" w:name="_Toc15372765"/>
    </w:p>
    <w:p w14:paraId="3FD8B1AE" w14:textId="77777777" w:rsidR="00B73A46" w:rsidRPr="00885E8A" w:rsidRDefault="00B73A46" w:rsidP="007C589D">
      <w:pPr>
        <w:pStyle w:val="TableTitle"/>
      </w:pPr>
      <w:r w:rsidRPr="00885E8A">
        <w:lastRenderedPageBreak/>
        <w:t xml:space="preserve">Exhibit </w:t>
      </w:r>
      <w:r w:rsidR="0064571D">
        <w:fldChar w:fldCharType="begin"/>
      </w:r>
      <w:r w:rsidR="0064571D">
        <w:instrText xml:space="preserve"> STYLEREF 1 \s </w:instrText>
      </w:r>
      <w:r w:rsidR="0064571D">
        <w:fldChar w:fldCharType="separate"/>
      </w:r>
      <w:r w:rsidRPr="00885E8A">
        <w:rPr>
          <w:noProof/>
        </w:rPr>
        <w:t>3</w:t>
      </w:r>
      <w:r w:rsidR="0064571D">
        <w:rPr>
          <w:noProof/>
        </w:rPr>
        <w:fldChar w:fldCharType="end"/>
      </w:r>
      <w:r w:rsidRPr="00885E8A">
        <w:noBreakHyphen/>
      </w:r>
      <w:r w:rsidR="0064571D">
        <w:fldChar w:fldCharType="begin"/>
      </w:r>
      <w:r w:rsidR="0064571D">
        <w:instrText xml:space="preserve"> SEQ Exhibit \* ARABIC \s 1 </w:instrText>
      </w:r>
      <w:r w:rsidR="0064571D">
        <w:fldChar w:fldCharType="separate"/>
      </w:r>
      <w:r w:rsidRPr="00885E8A">
        <w:rPr>
          <w:noProof/>
        </w:rPr>
        <w:t>1</w:t>
      </w:r>
      <w:r w:rsidR="0064571D">
        <w:rPr>
          <w:noProof/>
        </w:rPr>
        <w:fldChar w:fldCharType="end"/>
      </w:r>
      <w:bookmarkEnd w:id="14"/>
      <w:r w:rsidRPr="00885E8A">
        <w:t>. Ambient Air Quality Standards by Government Jurisdiction</w:t>
      </w:r>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1"/>
        <w:gridCol w:w="1269"/>
        <w:gridCol w:w="1549"/>
        <w:gridCol w:w="2195"/>
        <w:gridCol w:w="1806"/>
      </w:tblGrid>
      <w:tr w:rsidR="00B73A46" w:rsidRPr="00B615C3" w14:paraId="0EB2BE0E" w14:textId="77777777" w:rsidTr="00B73A46">
        <w:trPr>
          <w:trHeight w:val="342"/>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hideMark/>
          </w:tcPr>
          <w:p w14:paraId="77253C38" w14:textId="77777777" w:rsidR="00B73A46" w:rsidRPr="00B615C3" w:rsidRDefault="00B73A46" w:rsidP="007C589D">
            <w:pPr>
              <w:pStyle w:val="TableHeaders-405PROJECT"/>
            </w:pPr>
            <w:r w:rsidRPr="00B615C3">
              <w:t>Pollutant</w:t>
            </w:r>
          </w:p>
        </w:tc>
        <w:tc>
          <w:tcPr>
            <w:tcW w:w="0" w:type="auto"/>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hideMark/>
          </w:tcPr>
          <w:p w14:paraId="6A8432A4" w14:textId="77777777" w:rsidR="00B73A46" w:rsidRPr="00B615C3" w:rsidRDefault="00B73A46" w:rsidP="007C589D">
            <w:pPr>
              <w:pStyle w:val="TableHeaders-405PROJECT"/>
            </w:pPr>
            <w:r w:rsidRPr="00B615C3">
              <w:t>National</w:t>
            </w:r>
            <w:r>
              <w:rPr>
                <w:rStyle w:val="FootnoteReference"/>
              </w:rPr>
              <w:footnoteReference w:id="2"/>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hideMark/>
          </w:tcPr>
          <w:p w14:paraId="6C97B8FC" w14:textId="77777777" w:rsidR="00B73A46" w:rsidRPr="00B615C3" w:rsidRDefault="00B73A46" w:rsidP="007C589D">
            <w:pPr>
              <w:pStyle w:val="TableHeaders-405PROJECT"/>
            </w:pPr>
            <w:r w:rsidRPr="00B615C3">
              <w:t>State of Washington</w:t>
            </w:r>
            <w:r>
              <w:rPr>
                <w:rStyle w:val="FootnoteReference"/>
              </w:rPr>
              <w:footnoteReference w:id="3"/>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hideMark/>
          </w:tcPr>
          <w:p w14:paraId="13A07B9C" w14:textId="77777777" w:rsidR="00B73A46" w:rsidRPr="000E5FEB" w:rsidRDefault="00B73A46" w:rsidP="007C589D">
            <w:pPr>
              <w:pStyle w:val="TableHeaders-405PROJECT"/>
              <w:rPr>
                <w:highlight w:val="cyan"/>
              </w:rPr>
            </w:pPr>
            <w:r w:rsidRPr="000E5FEB">
              <w:rPr>
                <w:highlight w:val="cyan"/>
              </w:rPr>
              <w:t>Puget Sound Region</w:t>
            </w:r>
          </w:p>
        </w:tc>
      </w:tr>
      <w:tr w:rsidR="00B73A46" w:rsidRPr="00B615C3" w14:paraId="565E3CA8" w14:textId="77777777" w:rsidTr="00B73A46">
        <w:trPr>
          <w:trHeight w:val="359"/>
          <w:tblHeader/>
        </w:trPr>
        <w:tc>
          <w:tcPr>
            <w:tcW w:w="0" w:type="auto"/>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A31E344" w14:textId="77777777" w:rsidR="00B73A46" w:rsidRPr="00B615C3" w:rsidRDefault="00B73A46" w:rsidP="007C589D">
            <w:pPr>
              <w:pStyle w:val="TableBodyCenter"/>
              <w:keepNext/>
              <w:spacing w:before="60" w:after="60"/>
              <w:rPr>
                <w:b/>
                <w:kern w:val="20"/>
              </w:rPr>
            </w:pP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6E8B325" w14:textId="77777777" w:rsidR="00B73A46" w:rsidRPr="00B615C3" w:rsidRDefault="00B73A46" w:rsidP="007C589D">
            <w:pPr>
              <w:pStyle w:val="TableHeaders-405PROJECT"/>
            </w:pPr>
            <w:r w:rsidRPr="00B615C3">
              <w:t>Primary</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82D6DA2" w14:textId="77777777" w:rsidR="00B73A46" w:rsidRPr="00B615C3" w:rsidRDefault="00B73A46" w:rsidP="007C589D">
            <w:pPr>
              <w:pStyle w:val="TableHeaders-405PROJECT"/>
            </w:pPr>
            <w:r w:rsidRPr="00B615C3">
              <w:t>Secondary</w:t>
            </w:r>
          </w:p>
        </w:tc>
        <w:tc>
          <w:tcPr>
            <w:tcW w:w="0" w:type="auto"/>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1D39580" w14:textId="77777777" w:rsidR="00B73A46" w:rsidRPr="00B615C3" w:rsidRDefault="00B73A46" w:rsidP="007C589D">
            <w:pPr>
              <w:pStyle w:val="TableBodyCenter"/>
              <w:keepNext/>
              <w:spacing w:before="60" w:after="60"/>
              <w:rPr>
                <w:b/>
                <w:kern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D1B2B70" w14:textId="77777777" w:rsidR="00B73A46" w:rsidRPr="00B615C3" w:rsidRDefault="00B73A46" w:rsidP="007C589D">
            <w:pPr>
              <w:pStyle w:val="TableBodyCenter"/>
              <w:keepNext/>
              <w:spacing w:before="60" w:after="60"/>
              <w:rPr>
                <w:b/>
                <w:kern w:val="20"/>
              </w:rPr>
            </w:pPr>
          </w:p>
        </w:tc>
      </w:tr>
      <w:tr w:rsidR="00B73A46" w:rsidRPr="00B615C3" w14:paraId="430EC7FA" w14:textId="77777777" w:rsidTr="00B73A46">
        <w:trPr>
          <w:trHeight w:val="342"/>
        </w:trPr>
        <w:tc>
          <w:tcPr>
            <w:tcW w:w="0" w:type="auto"/>
            <w:gridSpan w:val="5"/>
            <w:tcBorders>
              <w:top w:val="single" w:sz="4" w:space="0" w:color="auto"/>
              <w:left w:val="single" w:sz="4" w:space="0" w:color="auto"/>
              <w:bottom w:val="single" w:sz="4" w:space="0" w:color="auto"/>
              <w:right w:val="single" w:sz="4" w:space="0" w:color="auto"/>
            </w:tcBorders>
            <w:hideMark/>
          </w:tcPr>
          <w:p w14:paraId="7849D21E" w14:textId="77777777" w:rsidR="00B73A46" w:rsidRPr="00B615C3" w:rsidRDefault="00B73A46" w:rsidP="007C589D">
            <w:pPr>
              <w:pStyle w:val="TableBodyBoldLeft"/>
              <w:keepNext/>
              <w:spacing w:before="60" w:after="60"/>
              <w:rPr>
                <w:kern w:val="20"/>
              </w:rPr>
            </w:pPr>
            <w:r w:rsidRPr="00B615C3">
              <w:rPr>
                <w:kern w:val="20"/>
              </w:rPr>
              <w:t>Nitrogen Dioxide (NO</w:t>
            </w:r>
            <w:r w:rsidRPr="00B615C3">
              <w:rPr>
                <w:rFonts w:ascii="Arial Bold" w:hAnsi="Arial Bold"/>
                <w:kern w:val="20"/>
                <w:vertAlign w:val="subscript"/>
              </w:rPr>
              <w:t>2</w:t>
            </w:r>
            <w:r w:rsidRPr="00B615C3">
              <w:rPr>
                <w:kern w:val="20"/>
              </w:rPr>
              <w:t>)</w:t>
            </w:r>
          </w:p>
        </w:tc>
      </w:tr>
      <w:tr w:rsidR="00B73A46" w:rsidRPr="00B615C3" w14:paraId="263DD33B" w14:textId="77777777" w:rsidTr="00B73A46">
        <w:trPr>
          <w:trHeight w:val="342"/>
        </w:trPr>
        <w:tc>
          <w:tcPr>
            <w:tcW w:w="0" w:type="auto"/>
            <w:tcBorders>
              <w:top w:val="single" w:sz="4" w:space="0" w:color="auto"/>
              <w:left w:val="single" w:sz="4" w:space="0" w:color="auto"/>
              <w:bottom w:val="single" w:sz="4" w:space="0" w:color="auto"/>
              <w:right w:val="single" w:sz="4" w:space="0" w:color="auto"/>
            </w:tcBorders>
            <w:hideMark/>
          </w:tcPr>
          <w:p w14:paraId="291A9E0F" w14:textId="77777777" w:rsidR="00B73A46" w:rsidRPr="00B615C3" w:rsidRDefault="00B73A46" w:rsidP="007C589D">
            <w:pPr>
              <w:pStyle w:val="TableText-405PROJECT"/>
              <w:keepNext/>
              <w:rPr>
                <w:kern w:val="20"/>
              </w:rPr>
            </w:pPr>
            <w:r w:rsidRPr="00B615C3">
              <w:rPr>
                <w:kern w:val="20"/>
              </w:rPr>
              <w:t>1-Hour (ppm)</w:t>
            </w:r>
          </w:p>
        </w:tc>
        <w:tc>
          <w:tcPr>
            <w:tcW w:w="0" w:type="auto"/>
            <w:tcBorders>
              <w:top w:val="single" w:sz="4" w:space="0" w:color="auto"/>
              <w:left w:val="single" w:sz="4" w:space="0" w:color="auto"/>
              <w:bottom w:val="single" w:sz="4" w:space="0" w:color="auto"/>
              <w:right w:val="single" w:sz="4" w:space="0" w:color="auto"/>
            </w:tcBorders>
            <w:vAlign w:val="center"/>
            <w:hideMark/>
          </w:tcPr>
          <w:p w14:paraId="7D2E6FED" w14:textId="77777777" w:rsidR="00B73A46" w:rsidRPr="00B615C3" w:rsidRDefault="00B73A46" w:rsidP="007C589D">
            <w:pPr>
              <w:pStyle w:val="TableText-405PROJECT"/>
              <w:keepNext/>
              <w:jc w:val="center"/>
              <w:rPr>
                <w:kern w:val="20"/>
              </w:rPr>
            </w:pPr>
            <w:r w:rsidRPr="00B615C3">
              <w:rPr>
                <w:kern w:val="20"/>
              </w:rPr>
              <w:t>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7988C610" w14:textId="77777777" w:rsidR="00B73A46" w:rsidRPr="00B615C3" w:rsidRDefault="00B73A46" w:rsidP="007C589D">
            <w:pPr>
              <w:pStyle w:val="TableText-405PROJECT"/>
              <w:keepNext/>
              <w:jc w:val="center"/>
              <w:rPr>
                <w:kern w:val="20"/>
              </w:rPr>
            </w:pPr>
            <w:r w:rsidRPr="00B615C3">
              <w:rPr>
                <w:kern w:val="20"/>
              </w:rPr>
              <w:t>NS</w:t>
            </w:r>
          </w:p>
        </w:tc>
        <w:tc>
          <w:tcPr>
            <w:tcW w:w="0" w:type="auto"/>
            <w:tcBorders>
              <w:top w:val="single" w:sz="4" w:space="0" w:color="auto"/>
              <w:left w:val="single" w:sz="4" w:space="0" w:color="auto"/>
              <w:bottom w:val="single" w:sz="4" w:space="0" w:color="auto"/>
              <w:right w:val="single" w:sz="4" w:space="0" w:color="auto"/>
            </w:tcBorders>
            <w:vAlign w:val="center"/>
            <w:hideMark/>
          </w:tcPr>
          <w:p w14:paraId="0F235478" w14:textId="77777777" w:rsidR="00B73A46" w:rsidRPr="00B615C3" w:rsidRDefault="00B73A46" w:rsidP="007C589D">
            <w:pPr>
              <w:pStyle w:val="TableText-405PROJECT"/>
              <w:keepNext/>
              <w:jc w:val="center"/>
              <w:rPr>
                <w:kern w:val="20"/>
              </w:rPr>
            </w:pPr>
            <w:r>
              <w:rPr>
                <w:kern w:val="20"/>
              </w:rPr>
              <w:t>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596C2E6C" w14:textId="77777777" w:rsidR="00B73A46" w:rsidRPr="000E5FEB" w:rsidRDefault="00B73A46" w:rsidP="007C589D">
            <w:pPr>
              <w:pStyle w:val="TableText-405PROJECT"/>
              <w:keepNext/>
              <w:jc w:val="center"/>
              <w:rPr>
                <w:kern w:val="20"/>
                <w:highlight w:val="cyan"/>
              </w:rPr>
            </w:pPr>
            <w:r w:rsidRPr="000E5FEB">
              <w:rPr>
                <w:kern w:val="20"/>
                <w:highlight w:val="cyan"/>
              </w:rPr>
              <w:t>0.10</w:t>
            </w:r>
          </w:p>
        </w:tc>
      </w:tr>
      <w:tr w:rsidR="00B73A46" w:rsidRPr="00B615C3" w14:paraId="50C70AA6" w14:textId="77777777" w:rsidTr="00B73A46">
        <w:trPr>
          <w:trHeight w:val="342"/>
        </w:trPr>
        <w:tc>
          <w:tcPr>
            <w:tcW w:w="0" w:type="auto"/>
            <w:tcBorders>
              <w:top w:val="single" w:sz="4" w:space="0" w:color="auto"/>
              <w:left w:val="single" w:sz="4" w:space="0" w:color="auto"/>
              <w:bottom w:val="single" w:sz="4" w:space="0" w:color="auto"/>
              <w:right w:val="single" w:sz="4" w:space="0" w:color="auto"/>
            </w:tcBorders>
            <w:hideMark/>
          </w:tcPr>
          <w:p w14:paraId="2CDD4AC9" w14:textId="77777777" w:rsidR="00B73A46" w:rsidRPr="00B615C3" w:rsidRDefault="00B73A46" w:rsidP="007C589D">
            <w:pPr>
              <w:pStyle w:val="TableText-405PROJECT"/>
              <w:keepNext/>
              <w:rPr>
                <w:kern w:val="20"/>
              </w:rPr>
            </w:pPr>
            <w:r w:rsidRPr="00B615C3">
              <w:rPr>
                <w:kern w:val="20"/>
              </w:rPr>
              <w:t>Annual Average (ppm)</w:t>
            </w:r>
          </w:p>
        </w:tc>
        <w:tc>
          <w:tcPr>
            <w:tcW w:w="0" w:type="auto"/>
            <w:tcBorders>
              <w:top w:val="single" w:sz="4" w:space="0" w:color="auto"/>
              <w:left w:val="single" w:sz="4" w:space="0" w:color="auto"/>
              <w:bottom w:val="single" w:sz="4" w:space="0" w:color="auto"/>
              <w:right w:val="single" w:sz="4" w:space="0" w:color="auto"/>
            </w:tcBorders>
            <w:vAlign w:val="center"/>
            <w:hideMark/>
          </w:tcPr>
          <w:p w14:paraId="408ADE61" w14:textId="77777777" w:rsidR="00B73A46" w:rsidRPr="00B615C3" w:rsidRDefault="00B73A46" w:rsidP="007C589D">
            <w:pPr>
              <w:pStyle w:val="TableText-405PROJECT"/>
              <w:keepNext/>
              <w:jc w:val="center"/>
              <w:rPr>
                <w:kern w:val="20"/>
              </w:rPr>
            </w:pPr>
            <w:r w:rsidRPr="00B615C3">
              <w:rPr>
                <w:kern w:val="20"/>
              </w:rPr>
              <w:t>0.053</w:t>
            </w:r>
          </w:p>
        </w:tc>
        <w:tc>
          <w:tcPr>
            <w:tcW w:w="0" w:type="auto"/>
            <w:tcBorders>
              <w:top w:val="single" w:sz="4" w:space="0" w:color="auto"/>
              <w:left w:val="single" w:sz="4" w:space="0" w:color="auto"/>
              <w:bottom w:val="single" w:sz="4" w:space="0" w:color="auto"/>
              <w:right w:val="single" w:sz="4" w:space="0" w:color="auto"/>
            </w:tcBorders>
            <w:vAlign w:val="center"/>
            <w:hideMark/>
          </w:tcPr>
          <w:p w14:paraId="2A821584" w14:textId="77777777" w:rsidR="00B73A46" w:rsidRPr="00B615C3" w:rsidRDefault="00B73A46" w:rsidP="007C589D">
            <w:pPr>
              <w:pStyle w:val="TableText-405PROJECT"/>
              <w:keepNext/>
              <w:jc w:val="center"/>
              <w:rPr>
                <w:kern w:val="20"/>
              </w:rPr>
            </w:pPr>
            <w:r w:rsidRPr="00B615C3">
              <w:rPr>
                <w:kern w:val="20"/>
              </w:rPr>
              <w:t>0.053</w:t>
            </w:r>
          </w:p>
        </w:tc>
        <w:tc>
          <w:tcPr>
            <w:tcW w:w="0" w:type="auto"/>
            <w:tcBorders>
              <w:top w:val="single" w:sz="4" w:space="0" w:color="auto"/>
              <w:left w:val="single" w:sz="4" w:space="0" w:color="auto"/>
              <w:bottom w:val="single" w:sz="4" w:space="0" w:color="auto"/>
              <w:right w:val="single" w:sz="4" w:space="0" w:color="auto"/>
            </w:tcBorders>
            <w:vAlign w:val="center"/>
            <w:hideMark/>
          </w:tcPr>
          <w:p w14:paraId="5B804078" w14:textId="77777777" w:rsidR="00B73A46" w:rsidRPr="00B615C3" w:rsidRDefault="00B73A46" w:rsidP="007C589D">
            <w:pPr>
              <w:pStyle w:val="TableText-405PROJECT"/>
              <w:keepNext/>
              <w:jc w:val="center"/>
              <w:rPr>
                <w:kern w:val="20"/>
              </w:rPr>
            </w:pPr>
            <w:r w:rsidRPr="00B615C3">
              <w:rPr>
                <w:kern w:val="20"/>
              </w:rPr>
              <w:t>0.05</w:t>
            </w:r>
            <w:r>
              <w:rPr>
                <w:kern w:val="20"/>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62361B6D" w14:textId="77777777" w:rsidR="00B73A46" w:rsidRPr="000E5FEB" w:rsidRDefault="00B73A46" w:rsidP="007C589D">
            <w:pPr>
              <w:pStyle w:val="TableText-405PROJECT"/>
              <w:keepNext/>
              <w:jc w:val="center"/>
              <w:rPr>
                <w:kern w:val="20"/>
                <w:highlight w:val="cyan"/>
              </w:rPr>
            </w:pPr>
            <w:r w:rsidRPr="000E5FEB">
              <w:rPr>
                <w:kern w:val="20"/>
                <w:highlight w:val="cyan"/>
              </w:rPr>
              <w:t>0.053</w:t>
            </w:r>
          </w:p>
        </w:tc>
      </w:tr>
      <w:tr w:rsidR="00B73A46" w:rsidRPr="00B615C3" w14:paraId="68506EFD" w14:textId="77777777" w:rsidTr="00B73A46">
        <w:trPr>
          <w:trHeight w:val="342"/>
        </w:trPr>
        <w:tc>
          <w:tcPr>
            <w:tcW w:w="0" w:type="auto"/>
            <w:gridSpan w:val="5"/>
            <w:tcBorders>
              <w:top w:val="single" w:sz="4" w:space="0" w:color="auto"/>
              <w:left w:val="single" w:sz="4" w:space="0" w:color="auto"/>
              <w:bottom w:val="single" w:sz="4" w:space="0" w:color="auto"/>
              <w:right w:val="single" w:sz="4" w:space="0" w:color="auto"/>
            </w:tcBorders>
            <w:hideMark/>
          </w:tcPr>
          <w:p w14:paraId="7EF06B47" w14:textId="77777777" w:rsidR="00B73A46" w:rsidRPr="00B615C3" w:rsidRDefault="00B73A46" w:rsidP="007C589D">
            <w:pPr>
              <w:pStyle w:val="TableBodyBoldLeft"/>
              <w:keepNext/>
              <w:spacing w:before="60" w:after="60"/>
              <w:rPr>
                <w:kern w:val="20"/>
              </w:rPr>
            </w:pPr>
            <w:r w:rsidRPr="00B615C3">
              <w:rPr>
                <w:kern w:val="20"/>
              </w:rPr>
              <w:t>Carbon Monoxide (CO)</w:t>
            </w:r>
          </w:p>
        </w:tc>
      </w:tr>
      <w:tr w:rsidR="00B73A46" w:rsidRPr="00B615C3" w14:paraId="308E3A51" w14:textId="77777777" w:rsidTr="00B73A46">
        <w:trPr>
          <w:trHeight w:val="332"/>
        </w:trPr>
        <w:tc>
          <w:tcPr>
            <w:tcW w:w="0" w:type="auto"/>
            <w:tcBorders>
              <w:top w:val="single" w:sz="4" w:space="0" w:color="auto"/>
              <w:left w:val="single" w:sz="4" w:space="0" w:color="auto"/>
              <w:bottom w:val="single" w:sz="4" w:space="0" w:color="auto"/>
              <w:right w:val="single" w:sz="4" w:space="0" w:color="auto"/>
            </w:tcBorders>
            <w:hideMark/>
          </w:tcPr>
          <w:p w14:paraId="70BEC4D6" w14:textId="77777777" w:rsidR="00B73A46" w:rsidRPr="00B615C3" w:rsidRDefault="00B73A46" w:rsidP="007C589D">
            <w:pPr>
              <w:pStyle w:val="TableText-405PROJECT"/>
              <w:keepNext/>
              <w:rPr>
                <w:kern w:val="20"/>
              </w:rPr>
            </w:pPr>
            <w:r w:rsidRPr="00B615C3">
              <w:rPr>
                <w:kern w:val="20"/>
              </w:rPr>
              <w:t>1-Hour Average (ppm)</w:t>
            </w:r>
          </w:p>
        </w:tc>
        <w:tc>
          <w:tcPr>
            <w:tcW w:w="0" w:type="auto"/>
            <w:tcBorders>
              <w:top w:val="single" w:sz="4" w:space="0" w:color="auto"/>
              <w:left w:val="single" w:sz="4" w:space="0" w:color="auto"/>
              <w:bottom w:val="single" w:sz="4" w:space="0" w:color="auto"/>
              <w:right w:val="single" w:sz="4" w:space="0" w:color="auto"/>
            </w:tcBorders>
            <w:hideMark/>
          </w:tcPr>
          <w:p w14:paraId="61923948" w14:textId="77777777" w:rsidR="00B73A46" w:rsidRPr="00B615C3" w:rsidRDefault="00B73A46" w:rsidP="007C589D">
            <w:pPr>
              <w:pStyle w:val="TableText-405PROJECT"/>
              <w:keepNext/>
              <w:jc w:val="center"/>
              <w:rPr>
                <w:kern w:val="20"/>
              </w:rPr>
            </w:pPr>
            <w:r w:rsidRPr="00B615C3">
              <w:rPr>
                <w:kern w:val="20"/>
              </w:rPr>
              <w:t>35.0</w:t>
            </w:r>
          </w:p>
        </w:tc>
        <w:tc>
          <w:tcPr>
            <w:tcW w:w="0" w:type="auto"/>
            <w:tcBorders>
              <w:top w:val="single" w:sz="4" w:space="0" w:color="auto"/>
              <w:left w:val="single" w:sz="4" w:space="0" w:color="auto"/>
              <w:bottom w:val="single" w:sz="4" w:space="0" w:color="auto"/>
              <w:right w:val="single" w:sz="4" w:space="0" w:color="auto"/>
            </w:tcBorders>
            <w:hideMark/>
          </w:tcPr>
          <w:p w14:paraId="41AC5C98" w14:textId="77777777" w:rsidR="00B73A46" w:rsidRPr="00B615C3" w:rsidRDefault="00B73A46" w:rsidP="007C589D">
            <w:pPr>
              <w:pStyle w:val="TableText-405PROJECT"/>
              <w:keepNext/>
              <w:jc w:val="center"/>
              <w:rPr>
                <w:kern w:val="20"/>
              </w:rPr>
            </w:pPr>
            <w:r w:rsidRPr="00B615C3">
              <w:rPr>
                <w:kern w:val="20"/>
              </w:rPr>
              <w:t>NS</w:t>
            </w:r>
          </w:p>
        </w:tc>
        <w:tc>
          <w:tcPr>
            <w:tcW w:w="0" w:type="auto"/>
            <w:tcBorders>
              <w:top w:val="single" w:sz="4" w:space="0" w:color="auto"/>
              <w:left w:val="single" w:sz="4" w:space="0" w:color="auto"/>
              <w:bottom w:val="single" w:sz="4" w:space="0" w:color="auto"/>
              <w:right w:val="single" w:sz="4" w:space="0" w:color="auto"/>
            </w:tcBorders>
            <w:hideMark/>
          </w:tcPr>
          <w:p w14:paraId="0C68FA1B" w14:textId="77777777" w:rsidR="00B73A46" w:rsidRPr="00B615C3" w:rsidRDefault="00B73A46" w:rsidP="007C589D">
            <w:pPr>
              <w:pStyle w:val="TableText-405PROJECT"/>
              <w:keepNext/>
              <w:jc w:val="center"/>
              <w:rPr>
                <w:kern w:val="20"/>
              </w:rPr>
            </w:pPr>
            <w:r w:rsidRPr="00B615C3">
              <w:rPr>
                <w:kern w:val="20"/>
              </w:rPr>
              <w:t>35.0</w:t>
            </w:r>
          </w:p>
        </w:tc>
        <w:tc>
          <w:tcPr>
            <w:tcW w:w="0" w:type="auto"/>
            <w:tcBorders>
              <w:top w:val="single" w:sz="4" w:space="0" w:color="auto"/>
              <w:left w:val="single" w:sz="4" w:space="0" w:color="auto"/>
              <w:bottom w:val="single" w:sz="4" w:space="0" w:color="auto"/>
              <w:right w:val="single" w:sz="4" w:space="0" w:color="auto"/>
            </w:tcBorders>
            <w:hideMark/>
          </w:tcPr>
          <w:p w14:paraId="324F8AD7" w14:textId="77777777" w:rsidR="00B73A46" w:rsidRPr="000E5FEB" w:rsidRDefault="00B73A46" w:rsidP="007C589D">
            <w:pPr>
              <w:pStyle w:val="TableText-405PROJECT"/>
              <w:keepNext/>
              <w:jc w:val="center"/>
              <w:rPr>
                <w:kern w:val="20"/>
                <w:highlight w:val="cyan"/>
              </w:rPr>
            </w:pPr>
            <w:r w:rsidRPr="000E5FEB">
              <w:rPr>
                <w:kern w:val="20"/>
                <w:highlight w:val="cyan"/>
              </w:rPr>
              <w:t>35.0</w:t>
            </w:r>
          </w:p>
        </w:tc>
      </w:tr>
      <w:tr w:rsidR="00B73A46" w:rsidRPr="00B615C3" w14:paraId="26888802" w14:textId="77777777" w:rsidTr="00B73A46">
        <w:trPr>
          <w:trHeight w:val="342"/>
        </w:trPr>
        <w:tc>
          <w:tcPr>
            <w:tcW w:w="0" w:type="auto"/>
            <w:tcBorders>
              <w:top w:val="single" w:sz="4" w:space="0" w:color="auto"/>
              <w:left w:val="single" w:sz="4" w:space="0" w:color="auto"/>
              <w:bottom w:val="single" w:sz="4" w:space="0" w:color="auto"/>
              <w:right w:val="single" w:sz="4" w:space="0" w:color="auto"/>
            </w:tcBorders>
            <w:hideMark/>
          </w:tcPr>
          <w:p w14:paraId="5B5FF198" w14:textId="77777777" w:rsidR="00B73A46" w:rsidRPr="00B615C3" w:rsidRDefault="00B73A46" w:rsidP="007C589D">
            <w:pPr>
              <w:pStyle w:val="TableText-405PROJECT"/>
              <w:keepNext/>
              <w:rPr>
                <w:kern w:val="20"/>
              </w:rPr>
            </w:pPr>
            <w:r w:rsidRPr="00B615C3">
              <w:rPr>
                <w:kern w:val="20"/>
              </w:rPr>
              <w:t>8-Hour Average (ppm)</w:t>
            </w:r>
          </w:p>
        </w:tc>
        <w:tc>
          <w:tcPr>
            <w:tcW w:w="0" w:type="auto"/>
            <w:tcBorders>
              <w:top w:val="single" w:sz="4" w:space="0" w:color="auto"/>
              <w:left w:val="single" w:sz="4" w:space="0" w:color="auto"/>
              <w:bottom w:val="single" w:sz="4" w:space="0" w:color="auto"/>
              <w:right w:val="single" w:sz="4" w:space="0" w:color="auto"/>
            </w:tcBorders>
            <w:hideMark/>
          </w:tcPr>
          <w:p w14:paraId="0AC42897" w14:textId="77777777" w:rsidR="00B73A46" w:rsidRPr="00B615C3" w:rsidRDefault="00B73A46" w:rsidP="007C589D">
            <w:pPr>
              <w:pStyle w:val="TableText-405PROJECT"/>
              <w:keepNext/>
              <w:jc w:val="center"/>
              <w:rPr>
                <w:kern w:val="20"/>
              </w:rPr>
            </w:pPr>
            <w:r w:rsidRPr="00B615C3">
              <w:rPr>
                <w:kern w:val="20"/>
              </w:rPr>
              <w:t>9.0</w:t>
            </w:r>
          </w:p>
        </w:tc>
        <w:tc>
          <w:tcPr>
            <w:tcW w:w="0" w:type="auto"/>
            <w:tcBorders>
              <w:top w:val="single" w:sz="4" w:space="0" w:color="auto"/>
              <w:left w:val="single" w:sz="4" w:space="0" w:color="auto"/>
              <w:bottom w:val="single" w:sz="4" w:space="0" w:color="auto"/>
              <w:right w:val="single" w:sz="4" w:space="0" w:color="auto"/>
            </w:tcBorders>
            <w:hideMark/>
          </w:tcPr>
          <w:p w14:paraId="2255F090" w14:textId="77777777" w:rsidR="00B73A46" w:rsidRPr="00B615C3" w:rsidRDefault="00B73A46" w:rsidP="007C589D">
            <w:pPr>
              <w:pStyle w:val="TableText-405PROJECT"/>
              <w:keepNext/>
              <w:jc w:val="center"/>
              <w:rPr>
                <w:kern w:val="20"/>
              </w:rPr>
            </w:pPr>
            <w:r w:rsidRPr="00B615C3">
              <w:rPr>
                <w:kern w:val="20"/>
              </w:rPr>
              <w:t>NS</w:t>
            </w:r>
          </w:p>
        </w:tc>
        <w:tc>
          <w:tcPr>
            <w:tcW w:w="0" w:type="auto"/>
            <w:tcBorders>
              <w:top w:val="single" w:sz="4" w:space="0" w:color="auto"/>
              <w:left w:val="single" w:sz="4" w:space="0" w:color="auto"/>
              <w:bottom w:val="single" w:sz="4" w:space="0" w:color="auto"/>
              <w:right w:val="single" w:sz="4" w:space="0" w:color="auto"/>
            </w:tcBorders>
            <w:hideMark/>
          </w:tcPr>
          <w:p w14:paraId="55FA97A2" w14:textId="77777777" w:rsidR="00B73A46" w:rsidRPr="00B615C3" w:rsidRDefault="00B73A46" w:rsidP="007C589D">
            <w:pPr>
              <w:pStyle w:val="TableText-405PROJECT"/>
              <w:keepNext/>
              <w:jc w:val="center"/>
              <w:rPr>
                <w:kern w:val="20"/>
              </w:rPr>
            </w:pPr>
            <w:r w:rsidRPr="00B615C3">
              <w:rPr>
                <w:kern w:val="20"/>
              </w:rPr>
              <w:t>9.0</w:t>
            </w:r>
          </w:p>
        </w:tc>
        <w:tc>
          <w:tcPr>
            <w:tcW w:w="0" w:type="auto"/>
            <w:tcBorders>
              <w:top w:val="single" w:sz="4" w:space="0" w:color="auto"/>
              <w:left w:val="single" w:sz="4" w:space="0" w:color="auto"/>
              <w:bottom w:val="single" w:sz="4" w:space="0" w:color="auto"/>
              <w:right w:val="single" w:sz="4" w:space="0" w:color="auto"/>
            </w:tcBorders>
            <w:hideMark/>
          </w:tcPr>
          <w:p w14:paraId="0997FB18" w14:textId="77777777" w:rsidR="00B73A46" w:rsidRPr="000E5FEB" w:rsidRDefault="00B73A46" w:rsidP="007C589D">
            <w:pPr>
              <w:pStyle w:val="TableText-405PROJECT"/>
              <w:keepNext/>
              <w:jc w:val="center"/>
              <w:rPr>
                <w:kern w:val="20"/>
                <w:highlight w:val="cyan"/>
              </w:rPr>
            </w:pPr>
            <w:r w:rsidRPr="000E5FEB">
              <w:rPr>
                <w:kern w:val="20"/>
                <w:highlight w:val="cyan"/>
              </w:rPr>
              <w:t>9.0</w:t>
            </w:r>
          </w:p>
        </w:tc>
      </w:tr>
      <w:tr w:rsidR="00B73A46" w:rsidRPr="00B615C3" w14:paraId="6747EC6F" w14:textId="77777777" w:rsidTr="00B73A46">
        <w:trPr>
          <w:trHeight w:val="342"/>
        </w:trPr>
        <w:tc>
          <w:tcPr>
            <w:tcW w:w="0" w:type="auto"/>
            <w:gridSpan w:val="5"/>
            <w:tcBorders>
              <w:top w:val="single" w:sz="4" w:space="0" w:color="auto"/>
              <w:left w:val="single" w:sz="4" w:space="0" w:color="auto"/>
              <w:bottom w:val="single" w:sz="4" w:space="0" w:color="auto"/>
              <w:right w:val="single" w:sz="4" w:space="0" w:color="auto"/>
            </w:tcBorders>
            <w:hideMark/>
          </w:tcPr>
          <w:p w14:paraId="5ED688B8" w14:textId="77777777" w:rsidR="00B73A46" w:rsidRPr="00B615C3" w:rsidRDefault="00B73A46" w:rsidP="007C589D">
            <w:pPr>
              <w:pStyle w:val="TableBodyBoldLeft"/>
              <w:keepNext/>
              <w:spacing w:before="60" w:after="60"/>
              <w:rPr>
                <w:kern w:val="20"/>
              </w:rPr>
            </w:pPr>
            <w:r w:rsidRPr="00B615C3">
              <w:rPr>
                <w:kern w:val="20"/>
              </w:rPr>
              <w:t>Ozone (O</w:t>
            </w:r>
            <w:r w:rsidRPr="00B615C3">
              <w:rPr>
                <w:kern w:val="20"/>
                <w:vertAlign w:val="subscript"/>
              </w:rPr>
              <w:t>3</w:t>
            </w:r>
            <w:r w:rsidRPr="00B615C3">
              <w:rPr>
                <w:kern w:val="20"/>
              </w:rPr>
              <w:t xml:space="preserve">) </w:t>
            </w:r>
          </w:p>
        </w:tc>
      </w:tr>
      <w:tr w:rsidR="00B73A46" w:rsidRPr="00B615C3" w14:paraId="7A41EE4C" w14:textId="77777777" w:rsidTr="00B73A46">
        <w:trPr>
          <w:trHeight w:val="342"/>
        </w:trPr>
        <w:tc>
          <w:tcPr>
            <w:tcW w:w="0" w:type="auto"/>
            <w:tcBorders>
              <w:top w:val="single" w:sz="4" w:space="0" w:color="auto"/>
              <w:left w:val="single" w:sz="4" w:space="0" w:color="auto"/>
              <w:bottom w:val="single" w:sz="4" w:space="0" w:color="auto"/>
              <w:right w:val="single" w:sz="4" w:space="0" w:color="auto"/>
            </w:tcBorders>
            <w:hideMark/>
          </w:tcPr>
          <w:p w14:paraId="4D464640" w14:textId="77777777" w:rsidR="00B73A46" w:rsidRPr="00B615C3" w:rsidRDefault="00B73A46" w:rsidP="007C589D">
            <w:pPr>
              <w:pStyle w:val="TableText-405PROJECT"/>
              <w:keepNext/>
              <w:rPr>
                <w:kern w:val="20"/>
              </w:rPr>
            </w:pPr>
            <w:r w:rsidRPr="00B615C3">
              <w:rPr>
                <w:kern w:val="20"/>
              </w:rPr>
              <w:t>8-Hour Average (ppm)</w:t>
            </w:r>
          </w:p>
        </w:tc>
        <w:tc>
          <w:tcPr>
            <w:tcW w:w="0" w:type="auto"/>
            <w:tcBorders>
              <w:top w:val="single" w:sz="4" w:space="0" w:color="auto"/>
              <w:left w:val="single" w:sz="4" w:space="0" w:color="auto"/>
              <w:bottom w:val="single" w:sz="4" w:space="0" w:color="auto"/>
              <w:right w:val="single" w:sz="4" w:space="0" w:color="auto"/>
            </w:tcBorders>
            <w:hideMark/>
          </w:tcPr>
          <w:p w14:paraId="1C01DC9E" w14:textId="77777777" w:rsidR="00B73A46" w:rsidRPr="00B615C3" w:rsidRDefault="00B73A46" w:rsidP="007C589D">
            <w:pPr>
              <w:pStyle w:val="TableText-405PROJECT"/>
              <w:keepNext/>
              <w:jc w:val="center"/>
              <w:rPr>
                <w:kern w:val="20"/>
              </w:rPr>
            </w:pPr>
            <w:r>
              <w:rPr>
                <w:kern w:val="20"/>
              </w:rPr>
              <w:t>0.070</w:t>
            </w:r>
          </w:p>
        </w:tc>
        <w:tc>
          <w:tcPr>
            <w:tcW w:w="0" w:type="auto"/>
            <w:tcBorders>
              <w:top w:val="single" w:sz="4" w:space="0" w:color="auto"/>
              <w:left w:val="single" w:sz="4" w:space="0" w:color="auto"/>
              <w:bottom w:val="single" w:sz="4" w:space="0" w:color="auto"/>
              <w:right w:val="single" w:sz="4" w:space="0" w:color="auto"/>
            </w:tcBorders>
            <w:hideMark/>
          </w:tcPr>
          <w:p w14:paraId="0E796B4C" w14:textId="77777777" w:rsidR="00B73A46" w:rsidRPr="00B615C3" w:rsidRDefault="00B73A46" w:rsidP="007C589D">
            <w:pPr>
              <w:pStyle w:val="TableText-405PROJECT"/>
              <w:keepNext/>
              <w:jc w:val="center"/>
              <w:rPr>
                <w:kern w:val="20"/>
              </w:rPr>
            </w:pPr>
            <w:r w:rsidRPr="00B615C3">
              <w:rPr>
                <w:kern w:val="20"/>
              </w:rPr>
              <w:t>0.07</w:t>
            </w:r>
            <w:r>
              <w:rPr>
                <w:kern w:val="20"/>
              </w:rPr>
              <w:t>0</w:t>
            </w:r>
          </w:p>
        </w:tc>
        <w:tc>
          <w:tcPr>
            <w:tcW w:w="0" w:type="auto"/>
            <w:tcBorders>
              <w:top w:val="single" w:sz="4" w:space="0" w:color="auto"/>
              <w:left w:val="single" w:sz="4" w:space="0" w:color="auto"/>
              <w:bottom w:val="single" w:sz="4" w:space="0" w:color="auto"/>
              <w:right w:val="single" w:sz="4" w:space="0" w:color="auto"/>
            </w:tcBorders>
            <w:hideMark/>
          </w:tcPr>
          <w:p w14:paraId="63160A8A" w14:textId="77777777" w:rsidR="00B73A46" w:rsidRPr="00B615C3" w:rsidRDefault="00B73A46" w:rsidP="007C589D">
            <w:pPr>
              <w:pStyle w:val="TableText-405PROJECT"/>
              <w:keepNext/>
              <w:jc w:val="center"/>
              <w:rPr>
                <w:kern w:val="20"/>
              </w:rPr>
            </w:pPr>
            <w:r>
              <w:rPr>
                <w:kern w:val="20"/>
              </w:rPr>
              <w:t>0.070</w:t>
            </w:r>
          </w:p>
        </w:tc>
        <w:tc>
          <w:tcPr>
            <w:tcW w:w="0" w:type="auto"/>
            <w:tcBorders>
              <w:top w:val="single" w:sz="4" w:space="0" w:color="auto"/>
              <w:left w:val="single" w:sz="4" w:space="0" w:color="auto"/>
              <w:bottom w:val="single" w:sz="4" w:space="0" w:color="auto"/>
              <w:right w:val="single" w:sz="4" w:space="0" w:color="auto"/>
            </w:tcBorders>
            <w:hideMark/>
          </w:tcPr>
          <w:p w14:paraId="5F9F385B" w14:textId="77777777" w:rsidR="00B73A46" w:rsidRPr="000E5FEB" w:rsidRDefault="00B73A46" w:rsidP="007C589D">
            <w:pPr>
              <w:pStyle w:val="TableText-405PROJECT"/>
              <w:keepNext/>
              <w:jc w:val="center"/>
              <w:rPr>
                <w:kern w:val="20"/>
                <w:highlight w:val="cyan"/>
              </w:rPr>
            </w:pPr>
            <w:r w:rsidRPr="000E5FEB">
              <w:rPr>
                <w:kern w:val="20"/>
                <w:highlight w:val="cyan"/>
              </w:rPr>
              <w:t>0.075</w:t>
            </w:r>
          </w:p>
        </w:tc>
      </w:tr>
      <w:tr w:rsidR="00B73A46" w:rsidRPr="00B615C3" w14:paraId="7FD4FE6F" w14:textId="77777777" w:rsidTr="00B73A46">
        <w:trPr>
          <w:trHeight w:val="342"/>
        </w:trPr>
        <w:tc>
          <w:tcPr>
            <w:tcW w:w="0" w:type="auto"/>
            <w:tcBorders>
              <w:top w:val="single" w:sz="4" w:space="0" w:color="auto"/>
              <w:left w:val="single" w:sz="4" w:space="0" w:color="auto"/>
              <w:bottom w:val="single" w:sz="4" w:space="0" w:color="auto"/>
              <w:right w:val="single" w:sz="4" w:space="0" w:color="auto"/>
            </w:tcBorders>
            <w:hideMark/>
          </w:tcPr>
          <w:p w14:paraId="4E5FC162" w14:textId="77777777" w:rsidR="00B73A46" w:rsidRPr="00B615C3" w:rsidRDefault="00B73A46" w:rsidP="007C589D">
            <w:pPr>
              <w:pStyle w:val="TableText-405PROJECT"/>
              <w:keepNext/>
              <w:rPr>
                <w:kern w:val="20"/>
              </w:rPr>
            </w:pPr>
            <w:r w:rsidRPr="00B615C3">
              <w:rPr>
                <w:kern w:val="20"/>
              </w:rPr>
              <w:t>1-Hour Average (ppm)</w:t>
            </w:r>
          </w:p>
        </w:tc>
        <w:tc>
          <w:tcPr>
            <w:tcW w:w="0" w:type="auto"/>
            <w:tcBorders>
              <w:top w:val="single" w:sz="4" w:space="0" w:color="auto"/>
              <w:left w:val="single" w:sz="4" w:space="0" w:color="auto"/>
              <w:bottom w:val="single" w:sz="4" w:space="0" w:color="auto"/>
              <w:right w:val="single" w:sz="4" w:space="0" w:color="auto"/>
            </w:tcBorders>
            <w:hideMark/>
          </w:tcPr>
          <w:p w14:paraId="4A8ABC78" w14:textId="77777777" w:rsidR="00B73A46" w:rsidRPr="00B615C3" w:rsidRDefault="00B73A46" w:rsidP="007C589D">
            <w:pPr>
              <w:pStyle w:val="TableText-405PROJECT"/>
              <w:keepNext/>
              <w:jc w:val="center"/>
              <w:rPr>
                <w:kern w:val="20"/>
              </w:rPr>
            </w:pPr>
            <w:r w:rsidRPr="00B615C3">
              <w:rPr>
                <w:kern w:val="20"/>
              </w:rPr>
              <w:t>Revoked</w:t>
            </w:r>
          </w:p>
        </w:tc>
        <w:tc>
          <w:tcPr>
            <w:tcW w:w="0" w:type="auto"/>
            <w:tcBorders>
              <w:top w:val="single" w:sz="4" w:space="0" w:color="auto"/>
              <w:left w:val="single" w:sz="4" w:space="0" w:color="auto"/>
              <w:bottom w:val="single" w:sz="4" w:space="0" w:color="auto"/>
              <w:right w:val="single" w:sz="4" w:space="0" w:color="auto"/>
            </w:tcBorders>
            <w:hideMark/>
          </w:tcPr>
          <w:p w14:paraId="476D28B3" w14:textId="77777777" w:rsidR="00B73A46" w:rsidRPr="00B615C3" w:rsidRDefault="00B73A46" w:rsidP="007C589D">
            <w:pPr>
              <w:pStyle w:val="TableText-405PROJECT"/>
              <w:keepNext/>
              <w:jc w:val="center"/>
              <w:rPr>
                <w:kern w:val="20"/>
              </w:rPr>
            </w:pPr>
            <w:r w:rsidRPr="00B615C3">
              <w:rPr>
                <w:kern w:val="20"/>
              </w:rPr>
              <w:t>Revoked</w:t>
            </w:r>
          </w:p>
        </w:tc>
        <w:tc>
          <w:tcPr>
            <w:tcW w:w="0" w:type="auto"/>
            <w:tcBorders>
              <w:top w:val="single" w:sz="4" w:space="0" w:color="auto"/>
              <w:left w:val="single" w:sz="4" w:space="0" w:color="auto"/>
              <w:bottom w:val="single" w:sz="4" w:space="0" w:color="auto"/>
              <w:right w:val="single" w:sz="4" w:space="0" w:color="auto"/>
            </w:tcBorders>
            <w:hideMark/>
          </w:tcPr>
          <w:p w14:paraId="41BF4474" w14:textId="77777777" w:rsidR="00B73A46" w:rsidRPr="00B615C3" w:rsidRDefault="00B73A46" w:rsidP="007C589D">
            <w:pPr>
              <w:pStyle w:val="TableText-405PROJECT"/>
              <w:keepNext/>
              <w:jc w:val="center"/>
              <w:rPr>
                <w:kern w:val="20"/>
              </w:rPr>
            </w:pPr>
            <w:r>
              <w:rPr>
                <w:kern w:val="20"/>
              </w:rPr>
              <w:t>NS</w:t>
            </w:r>
          </w:p>
        </w:tc>
        <w:tc>
          <w:tcPr>
            <w:tcW w:w="0" w:type="auto"/>
            <w:tcBorders>
              <w:top w:val="single" w:sz="4" w:space="0" w:color="auto"/>
              <w:left w:val="single" w:sz="4" w:space="0" w:color="auto"/>
              <w:bottom w:val="single" w:sz="4" w:space="0" w:color="auto"/>
              <w:right w:val="single" w:sz="4" w:space="0" w:color="auto"/>
            </w:tcBorders>
            <w:hideMark/>
          </w:tcPr>
          <w:p w14:paraId="61B1DF6B" w14:textId="77777777" w:rsidR="00B73A46" w:rsidRPr="000E5FEB" w:rsidRDefault="00B73A46" w:rsidP="007C589D">
            <w:pPr>
              <w:pStyle w:val="TableText-405PROJECT"/>
              <w:keepNext/>
              <w:jc w:val="center"/>
              <w:rPr>
                <w:kern w:val="20"/>
                <w:highlight w:val="cyan"/>
              </w:rPr>
            </w:pPr>
            <w:r w:rsidRPr="000E5FEB">
              <w:rPr>
                <w:kern w:val="20"/>
                <w:highlight w:val="cyan"/>
              </w:rPr>
              <w:t>NS</w:t>
            </w:r>
          </w:p>
        </w:tc>
      </w:tr>
      <w:tr w:rsidR="00B73A46" w:rsidRPr="00B615C3" w14:paraId="7922C6B0" w14:textId="77777777" w:rsidTr="00B73A46">
        <w:trPr>
          <w:cantSplit/>
          <w:trHeight w:val="342"/>
        </w:trPr>
        <w:tc>
          <w:tcPr>
            <w:tcW w:w="0" w:type="auto"/>
            <w:gridSpan w:val="5"/>
            <w:tcBorders>
              <w:top w:val="single" w:sz="4" w:space="0" w:color="auto"/>
              <w:left w:val="single" w:sz="4" w:space="0" w:color="auto"/>
              <w:bottom w:val="single" w:sz="4" w:space="0" w:color="auto"/>
              <w:right w:val="single" w:sz="4" w:space="0" w:color="auto"/>
            </w:tcBorders>
            <w:hideMark/>
          </w:tcPr>
          <w:p w14:paraId="2931DE1D" w14:textId="77777777" w:rsidR="00B73A46" w:rsidRPr="00B615C3" w:rsidRDefault="00B73A46" w:rsidP="007C589D">
            <w:pPr>
              <w:pStyle w:val="TableBodyBoldLeft"/>
              <w:keepNext/>
              <w:spacing w:before="60" w:after="60"/>
              <w:rPr>
                <w:kern w:val="20"/>
              </w:rPr>
            </w:pPr>
            <w:r w:rsidRPr="00B615C3">
              <w:rPr>
                <w:kern w:val="20"/>
              </w:rPr>
              <w:t>Particulate Matter (PM</w:t>
            </w:r>
            <w:r w:rsidRPr="00B615C3">
              <w:rPr>
                <w:kern w:val="20"/>
                <w:vertAlign w:val="subscript"/>
              </w:rPr>
              <w:t>10</w:t>
            </w:r>
            <w:r w:rsidRPr="00B615C3">
              <w:rPr>
                <w:kern w:val="20"/>
              </w:rPr>
              <w:t>)</w:t>
            </w:r>
          </w:p>
        </w:tc>
      </w:tr>
      <w:tr w:rsidR="00B73A46" w:rsidRPr="00B615C3" w14:paraId="5008B3E8" w14:textId="77777777" w:rsidTr="00B73A46">
        <w:trPr>
          <w:cantSplit/>
          <w:trHeight w:val="342"/>
        </w:trPr>
        <w:tc>
          <w:tcPr>
            <w:tcW w:w="0" w:type="auto"/>
            <w:tcBorders>
              <w:top w:val="single" w:sz="4" w:space="0" w:color="auto"/>
              <w:left w:val="single" w:sz="4" w:space="0" w:color="auto"/>
              <w:bottom w:val="single" w:sz="4" w:space="0" w:color="auto"/>
              <w:right w:val="single" w:sz="4" w:space="0" w:color="auto"/>
            </w:tcBorders>
            <w:hideMark/>
          </w:tcPr>
          <w:p w14:paraId="462D4B11" w14:textId="77777777" w:rsidR="00B73A46" w:rsidRPr="00B615C3" w:rsidRDefault="00B73A46" w:rsidP="007C589D">
            <w:pPr>
              <w:pStyle w:val="TableText-405PROJECT"/>
              <w:keepNext/>
              <w:rPr>
                <w:bCs/>
                <w:kern w:val="20"/>
              </w:rPr>
            </w:pPr>
            <w:r w:rsidRPr="00B615C3">
              <w:rPr>
                <w:kern w:val="20"/>
              </w:rPr>
              <w:t>24-Hour Average (µg/m</w:t>
            </w:r>
            <w:r w:rsidRPr="00B615C3">
              <w:rPr>
                <w:kern w:val="20"/>
                <w:vertAlign w:val="superscript"/>
              </w:rPr>
              <w:t>3</w:t>
            </w:r>
            <w:r w:rsidRPr="00B615C3">
              <w:rPr>
                <w:kern w:val="20"/>
              </w:rPr>
              <w:t>)</w:t>
            </w:r>
          </w:p>
        </w:tc>
        <w:tc>
          <w:tcPr>
            <w:tcW w:w="0" w:type="auto"/>
            <w:tcBorders>
              <w:top w:val="single" w:sz="4" w:space="0" w:color="auto"/>
              <w:left w:val="single" w:sz="4" w:space="0" w:color="auto"/>
              <w:bottom w:val="single" w:sz="4" w:space="0" w:color="auto"/>
              <w:right w:val="single" w:sz="4" w:space="0" w:color="auto"/>
            </w:tcBorders>
            <w:hideMark/>
          </w:tcPr>
          <w:p w14:paraId="52A5B234" w14:textId="77777777" w:rsidR="00B73A46" w:rsidRPr="00B615C3" w:rsidRDefault="00B73A46" w:rsidP="007C589D">
            <w:pPr>
              <w:pStyle w:val="TableText-405PROJECT"/>
              <w:keepNext/>
              <w:jc w:val="center"/>
              <w:rPr>
                <w:kern w:val="20"/>
              </w:rPr>
            </w:pPr>
            <w:r w:rsidRPr="00B615C3">
              <w:rPr>
                <w:kern w:val="20"/>
              </w:rPr>
              <w:t>150</w:t>
            </w:r>
          </w:p>
        </w:tc>
        <w:tc>
          <w:tcPr>
            <w:tcW w:w="0" w:type="auto"/>
            <w:tcBorders>
              <w:top w:val="single" w:sz="4" w:space="0" w:color="auto"/>
              <w:left w:val="single" w:sz="4" w:space="0" w:color="auto"/>
              <w:bottom w:val="single" w:sz="4" w:space="0" w:color="auto"/>
              <w:right w:val="single" w:sz="4" w:space="0" w:color="auto"/>
            </w:tcBorders>
            <w:hideMark/>
          </w:tcPr>
          <w:p w14:paraId="39B2455D" w14:textId="77777777" w:rsidR="00B73A46" w:rsidRPr="00B615C3" w:rsidRDefault="00B73A46" w:rsidP="007C589D">
            <w:pPr>
              <w:pStyle w:val="TableText-405PROJECT"/>
              <w:keepNext/>
              <w:jc w:val="center"/>
              <w:rPr>
                <w:kern w:val="20"/>
              </w:rPr>
            </w:pPr>
            <w:r w:rsidRPr="00B615C3">
              <w:rPr>
                <w:kern w:val="20"/>
              </w:rPr>
              <w:t>150</w:t>
            </w:r>
          </w:p>
        </w:tc>
        <w:tc>
          <w:tcPr>
            <w:tcW w:w="0" w:type="auto"/>
            <w:tcBorders>
              <w:top w:val="single" w:sz="4" w:space="0" w:color="auto"/>
              <w:left w:val="single" w:sz="4" w:space="0" w:color="auto"/>
              <w:bottom w:val="single" w:sz="4" w:space="0" w:color="auto"/>
              <w:right w:val="single" w:sz="4" w:space="0" w:color="auto"/>
            </w:tcBorders>
            <w:hideMark/>
          </w:tcPr>
          <w:p w14:paraId="071BDDC6" w14:textId="77777777" w:rsidR="00B73A46" w:rsidRPr="00B615C3" w:rsidRDefault="00B73A46" w:rsidP="007C589D">
            <w:pPr>
              <w:pStyle w:val="TableText-405PROJECT"/>
              <w:keepNext/>
              <w:jc w:val="center"/>
              <w:rPr>
                <w:kern w:val="20"/>
              </w:rPr>
            </w:pPr>
            <w:r w:rsidRPr="00B615C3">
              <w:rPr>
                <w:kern w:val="20"/>
              </w:rPr>
              <w:t>150</w:t>
            </w:r>
          </w:p>
        </w:tc>
        <w:tc>
          <w:tcPr>
            <w:tcW w:w="0" w:type="auto"/>
            <w:tcBorders>
              <w:top w:val="single" w:sz="4" w:space="0" w:color="auto"/>
              <w:left w:val="single" w:sz="4" w:space="0" w:color="auto"/>
              <w:bottom w:val="single" w:sz="4" w:space="0" w:color="auto"/>
              <w:right w:val="single" w:sz="4" w:space="0" w:color="auto"/>
            </w:tcBorders>
            <w:hideMark/>
          </w:tcPr>
          <w:p w14:paraId="5317B85D" w14:textId="77777777" w:rsidR="00B73A46" w:rsidRPr="000E5FEB" w:rsidRDefault="00B73A46" w:rsidP="007C589D">
            <w:pPr>
              <w:pStyle w:val="TableText-405PROJECT"/>
              <w:keepNext/>
              <w:jc w:val="center"/>
              <w:rPr>
                <w:kern w:val="20"/>
                <w:highlight w:val="cyan"/>
              </w:rPr>
            </w:pPr>
            <w:r w:rsidRPr="000E5FEB">
              <w:rPr>
                <w:kern w:val="20"/>
                <w:highlight w:val="cyan"/>
              </w:rPr>
              <w:t>150</w:t>
            </w:r>
          </w:p>
        </w:tc>
      </w:tr>
      <w:tr w:rsidR="00B73A46" w:rsidRPr="00B615C3" w14:paraId="4B305526" w14:textId="77777777" w:rsidTr="00B73A46">
        <w:trPr>
          <w:cantSplit/>
          <w:trHeight w:val="342"/>
        </w:trPr>
        <w:tc>
          <w:tcPr>
            <w:tcW w:w="0" w:type="auto"/>
            <w:tcBorders>
              <w:top w:val="single" w:sz="4" w:space="0" w:color="auto"/>
              <w:left w:val="single" w:sz="4" w:space="0" w:color="auto"/>
              <w:bottom w:val="single" w:sz="4" w:space="0" w:color="auto"/>
              <w:right w:val="single" w:sz="4" w:space="0" w:color="auto"/>
            </w:tcBorders>
            <w:hideMark/>
          </w:tcPr>
          <w:p w14:paraId="78EAA93D" w14:textId="77777777" w:rsidR="00B73A46" w:rsidRPr="00B615C3" w:rsidRDefault="00B73A46" w:rsidP="007C589D">
            <w:pPr>
              <w:pStyle w:val="TableText-405PROJECT"/>
              <w:keepNext/>
              <w:rPr>
                <w:kern w:val="20"/>
              </w:rPr>
            </w:pPr>
            <w:r w:rsidRPr="00B615C3">
              <w:rPr>
                <w:kern w:val="20"/>
              </w:rPr>
              <w:t>Annual Arithmetic Average (µg/m</w:t>
            </w:r>
            <w:r w:rsidRPr="00B615C3">
              <w:rPr>
                <w:kern w:val="20"/>
                <w:vertAlign w:val="superscript"/>
              </w:rPr>
              <w:t>3</w:t>
            </w:r>
            <w:r w:rsidRPr="00B615C3">
              <w:rPr>
                <w:kern w:val="20"/>
              </w:rPr>
              <w:t>)</w:t>
            </w:r>
          </w:p>
        </w:tc>
        <w:tc>
          <w:tcPr>
            <w:tcW w:w="0" w:type="auto"/>
            <w:tcBorders>
              <w:top w:val="single" w:sz="4" w:space="0" w:color="auto"/>
              <w:left w:val="single" w:sz="4" w:space="0" w:color="auto"/>
              <w:bottom w:val="single" w:sz="4" w:space="0" w:color="auto"/>
              <w:right w:val="single" w:sz="4" w:space="0" w:color="auto"/>
            </w:tcBorders>
            <w:hideMark/>
          </w:tcPr>
          <w:p w14:paraId="5D6B80D2" w14:textId="77777777" w:rsidR="00B73A46" w:rsidRPr="00B615C3" w:rsidRDefault="00B73A46" w:rsidP="007C589D">
            <w:pPr>
              <w:pStyle w:val="TableText-405PROJECT"/>
              <w:keepNext/>
              <w:jc w:val="center"/>
              <w:rPr>
                <w:kern w:val="20"/>
              </w:rPr>
            </w:pPr>
            <w:r w:rsidRPr="00B615C3">
              <w:rPr>
                <w:kern w:val="20"/>
              </w:rPr>
              <w:t>Revoked</w:t>
            </w:r>
          </w:p>
        </w:tc>
        <w:tc>
          <w:tcPr>
            <w:tcW w:w="0" w:type="auto"/>
            <w:tcBorders>
              <w:top w:val="single" w:sz="4" w:space="0" w:color="auto"/>
              <w:left w:val="single" w:sz="4" w:space="0" w:color="auto"/>
              <w:bottom w:val="single" w:sz="4" w:space="0" w:color="auto"/>
              <w:right w:val="single" w:sz="4" w:space="0" w:color="auto"/>
            </w:tcBorders>
            <w:hideMark/>
          </w:tcPr>
          <w:p w14:paraId="0039D547" w14:textId="77777777" w:rsidR="00B73A46" w:rsidRPr="00B615C3" w:rsidRDefault="00B73A46" w:rsidP="007C589D">
            <w:pPr>
              <w:pStyle w:val="TableText-405PROJECT"/>
              <w:keepNext/>
              <w:jc w:val="center"/>
              <w:rPr>
                <w:kern w:val="20"/>
              </w:rPr>
            </w:pPr>
            <w:r w:rsidRPr="00B615C3">
              <w:rPr>
                <w:kern w:val="20"/>
              </w:rPr>
              <w:t>Revoked</w:t>
            </w:r>
          </w:p>
        </w:tc>
        <w:tc>
          <w:tcPr>
            <w:tcW w:w="0" w:type="auto"/>
            <w:tcBorders>
              <w:top w:val="single" w:sz="4" w:space="0" w:color="auto"/>
              <w:left w:val="single" w:sz="4" w:space="0" w:color="auto"/>
              <w:bottom w:val="single" w:sz="4" w:space="0" w:color="auto"/>
              <w:right w:val="single" w:sz="4" w:space="0" w:color="auto"/>
            </w:tcBorders>
            <w:hideMark/>
          </w:tcPr>
          <w:p w14:paraId="45B7C83A" w14:textId="77777777" w:rsidR="00B73A46" w:rsidRPr="00B615C3" w:rsidRDefault="00B73A46" w:rsidP="007C589D">
            <w:pPr>
              <w:pStyle w:val="TableText-405PROJECT"/>
              <w:keepNext/>
              <w:jc w:val="center"/>
              <w:rPr>
                <w:kern w:val="20"/>
              </w:rPr>
            </w:pPr>
            <w:r>
              <w:rPr>
                <w:kern w:val="20"/>
              </w:rPr>
              <w:t>NS</w:t>
            </w:r>
          </w:p>
        </w:tc>
        <w:tc>
          <w:tcPr>
            <w:tcW w:w="0" w:type="auto"/>
            <w:tcBorders>
              <w:top w:val="single" w:sz="4" w:space="0" w:color="auto"/>
              <w:left w:val="single" w:sz="4" w:space="0" w:color="auto"/>
              <w:bottom w:val="single" w:sz="4" w:space="0" w:color="auto"/>
              <w:right w:val="single" w:sz="4" w:space="0" w:color="auto"/>
            </w:tcBorders>
            <w:hideMark/>
          </w:tcPr>
          <w:p w14:paraId="36894532" w14:textId="77777777" w:rsidR="00B73A46" w:rsidRPr="000E5FEB" w:rsidRDefault="00B73A46" w:rsidP="007C589D">
            <w:pPr>
              <w:pStyle w:val="TableText-405PROJECT"/>
              <w:keepNext/>
              <w:jc w:val="center"/>
              <w:rPr>
                <w:kern w:val="20"/>
                <w:highlight w:val="cyan"/>
              </w:rPr>
            </w:pPr>
            <w:r w:rsidRPr="000E5FEB">
              <w:rPr>
                <w:kern w:val="20"/>
                <w:highlight w:val="cyan"/>
              </w:rPr>
              <w:t>NS</w:t>
            </w:r>
          </w:p>
        </w:tc>
      </w:tr>
      <w:tr w:rsidR="00B73A46" w:rsidRPr="00B615C3" w14:paraId="52381EA2" w14:textId="77777777" w:rsidTr="00B73A46">
        <w:trPr>
          <w:trHeight w:val="342"/>
        </w:trPr>
        <w:tc>
          <w:tcPr>
            <w:tcW w:w="0" w:type="auto"/>
            <w:gridSpan w:val="5"/>
            <w:tcBorders>
              <w:top w:val="single" w:sz="4" w:space="0" w:color="auto"/>
              <w:left w:val="single" w:sz="4" w:space="0" w:color="auto"/>
              <w:bottom w:val="single" w:sz="4" w:space="0" w:color="auto"/>
              <w:right w:val="single" w:sz="4" w:space="0" w:color="auto"/>
            </w:tcBorders>
            <w:hideMark/>
          </w:tcPr>
          <w:p w14:paraId="183F5F4F" w14:textId="77777777" w:rsidR="00B73A46" w:rsidRPr="00B615C3" w:rsidRDefault="00B73A46" w:rsidP="007C589D">
            <w:pPr>
              <w:pStyle w:val="TableBodyBoldLeft"/>
              <w:keepNext/>
              <w:spacing w:before="60" w:after="60"/>
              <w:rPr>
                <w:kern w:val="20"/>
              </w:rPr>
            </w:pPr>
            <w:r w:rsidRPr="00B615C3">
              <w:rPr>
                <w:kern w:val="20"/>
              </w:rPr>
              <w:t>Particulate Matter (PM</w:t>
            </w:r>
            <w:r w:rsidRPr="00B615C3">
              <w:rPr>
                <w:kern w:val="20"/>
                <w:vertAlign w:val="subscript"/>
              </w:rPr>
              <w:t>2.5</w:t>
            </w:r>
            <w:r w:rsidRPr="00B615C3">
              <w:rPr>
                <w:kern w:val="20"/>
              </w:rPr>
              <w:t>)</w:t>
            </w:r>
          </w:p>
        </w:tc>
      </w:tr>
      <w:tr w:rsidR="00B73A46" w:rsidRPr="00B615C3" w14:paraId="7844C5A0" w14:textId="77777777" w:rsidTr="00B73A46">
        <w:trPr>
          <w:trHeight w:val="245"/>
        </w:trPr>
        <w:tc>
          <w:tcPr>
            <w:tcW w:w="0" w:type="auto"/>
            <w:tcBorders>
              <w:top w:val="single" w:sz="4" w:space="0" w:color="auto"/>
              <w:left w:val="single" w:sz="4" w:space="0" w:color="auto"/>
              <w:bottom w:val="single" w:sz="4" w:space="0" w:color="auto"/>
              <w:right w:val="single" w:sz="4" w:space="0" w:color="auto"/>
            </w:tcBorders>
            <w:hideMark/>
          </w:tcPr>
          <w:p w14:paraId="4DFC0AE3" w14:textId="77777777" w:rsidR="00B73A46" w:rsidRPr="00B615C3" w:rsidRDefault="00B73A46" w:rsidP="007C589D">
            <w:pPr>
              <w:pStyle w:val="TableText-405PROJECT"/>
              <w:keepNext/>
              <w:rPr>
                <w:bCs/>
                <w:kern w:val="20"/>
              </w:rPr>
            </w:pPr>
            <w:r w:rsidRPr="00B615C3">
              <w:rPr>
                <w:kern w:val="20"/>
              </w:rPr>
              <w:t>24-Hour Average (µg/m</w:t>
            </w:r>
            <w:r w:rsidRPr="00B615C3">
              <w:rPr>
                <w:kern w:val="20"/>
                <w:vertAlign w:val="superscript"/>
              </w:rPr>
              <w:t>3</w:t>
            </w:r>
            <w:r w:rsidRPr="00B615C3">
              <w:rPr>
                <w:kern w:val="20"/>
              </w:rPr>
              <w:t>)</w:t>
            </w:r>
          </w:p>
        </w:tc>
        <w:tc>
          <w:tcPr>
            <w:tcW w:w="0" w:type="auto"/>
            <w:tcBorders>
              <w:top w:val="single" w:sz="4" w:space="0" w:color="auto"/>
              <w:left w:val="single" w:sz="4" w:space="0" w:color="auto"/>
              <w:bottom w:val="single" w:sz="4" w:space="0" w:color="auto"/>
              <w:right w:val="single" w:sz="4" w:space="0" w:color="auto"/>
            </w:tcBorders>
            <w:hideMark/>
          </w:tcPr>
          <w:p w14:paraId="593A7EBB" w14:textId="77777777" w:rsidR="00B73A46" w:rsidRPr="00B615C3" w:rsidRDefault="00B73A46" w:rsidP="007C589D">
            <w:pPr>
              <w:pStyle w:val="TableText-405PROJECT"/>
              <w:keepNext/>
              <w:jc w:val="center"/>
              <w:rPr>
                <w:kern w:val="20"/>
              </w:rPr>
            </w:pPr>
            <w:r w:rsidRPr="00B615C3">
              <w:rPr>
                <w:kern w:val="20"/>
              </w:rPr>
              <w:t>35</w:t>
            </w:r>
          </w:p>
        </w:tc>
        <w:tc>
          <w:tcPr>
            <w:tcW w:w="0" w:type="auto"/>
            <w:tcBorders>
              <w:top w:val="single" w:sz="4" w:space="0" w:color="auto"/>
              <w:left w:val="single" w:sz="4" w:space="0" w:color="auto"/>
              <w:bottom w:val="single" w:sz="4" w:space="0" w:color="auto"/>
              <w:right w:val="single" w:sz="4" w:space="0" w:color="auto"/>
            </w:tcBorders>
            <w:hideMark/>
          </w:tcPr>
          <w:p w14:paraId="341CA4BA" w14:textId="77777777" w:rsidR="00B73A46" w:rsidRPr="00B615C3" w:rsidRDefault="00B73A46" w:rsidP="007C589D">
            <w:pPr>
              <w:pStyle w:val="TableText-405PROJECT"/>
              <w:keepNext/>
              <w:jc w:val="center"/>
              <w:rPr>
                <w:kern w:val="20"/>
              </w:rPr>
            </w:pPr>
            <w:r w:rsidRPr="00B615C3">
              <w:rPr>
                <w:kern w:val="20"/>
              </w:rPr>
              <w:t>35</w:t>
            </w:r>
          </w:p>
        </w:tc>
        <w:tc>
          <w:tcPr>
            <w:tcW w:w="0" w:type="auto"/>
            <w:tcBorders>
              <w:top w:val="single" w:sz="4" w:space="0" w:color="auto"/>
              <w:left w:val="single" w:sz="4" w:space="0" w:color="auto"/>
              <w:bottom w:val="single" w:sz="4" w:space="0" w:color="auto"/>
              <w:right w:val="single" w:sz="4" w:space="0" w:color="auto"/>
            </w:tcBorders>
            <w:hideMark/>
          </w:tcPr>
          <w:p w14:paraId="49E83069" w14:textId="77777777" w:rsidR="00B73A46" w:rsidRPr="00B615C3" w:rsidRDefault="00B73A46" w:rsidP="007C589D">
            <w:pPr>
              <w:pStyle w:val="TableText-405PROJECT"/>
              <w:keepNext/>
              <w:jc w:val="center"/>
              <w:rPr>
                <w:kern w:val="20"/>
              </w:rPr>
            </w:pPr>
            <w:r>
              <w:rPr>
                <w:kern w:val="20"/>
              </w:rPr>
              <w:t>35</w:t>
            </w:r>
          </w:p>
        </w:tc>
        <w:tc>
          <w:tcPr>
            <w:tcW w:w="0" w:type="auto"/>
            <w:tcBorders>
              <w:top w:val="single" w:sz="4" w:space="0" w:color="auto"/>
              <w:left w:val="single" w:sz="4" w:space="0" w:color="auto"/>
              <w:bottom w:val="single" w:sz="4" w:space="0" w:color="auto"/>
              <w:right w:val="single" w:sz="4" w:space="0" w:color="auto"/>
            </w:tcBorders>
            <w:hideMark/>
          </w:tcPr>
          <w:p w14:paraId="6B9618DD" w14:textId="77777777" w:rsidR="00B73A46" w:rsidRPr="000E5FEB" w:rsidRDefault="00B73A46" w:rsidP="007C589D">
            <w:pPr>
              <w:pStyle w:val="TableText-405PROJECT"/>
              <w:keepNext/>
              <w:jc w:val="center"/>
              <w:rPr>
                <w:kern w:val="20"/>
                <w:highlight w:val="cyan"/>
              </w:rPr>
            </w:pPr>
            <w:r w:rsidRPr="000E5FEB">
              <w:rPr>
                <w:kern w:val="20"/>
                <w:highlight w:val="cyan"/>
              </w:rPr>
              <w:t>35</w:t>
            </w:r>
          </w:p>
        </w:tc>
      </w:tr>
      <w:tr w:rsidR="00B73A46" w:rsidRPr="00B615C3" w14:paraId="6D2B830F" w14:textId="77777777" w:rsidTr="00B73A46">
        <w:trPr>
          <w:trHeight w:val="342"/>
        </w:trPr>
        <w:tc>
          <w:tcPr>
            <w:tcW w:w="0" w:type="auto"/>
            <w:tcBorders>
              <w:top w:val="single" w:sz="4" w:space="0" w:color="auto"/>
              <w:left w:val="single" w:sz="4" w:space="0" w:color="auto"/>
              <w:bottom w:val="single" w:sz="4" w:space="0" w:color="auto"/>
              <w:right w:val="single" w:sz="4" w:space="0" w:color="auto"/>
            </w:tcBorders>
            <w:hideMark/>
          </w:tcPr>
          <w:p w14:paraId="015E8856" w14:textId="77777777" w:rsidR="00B73A46" w:rsidRPr="00B615C3" w:rsidRDefault="00B73A46" w:rsidP="007C589D">
            <w:pPr>
              <w:pStyle w:val="TableText-405PROJECT"/>
              <w:keepNext/>
              <w:rPr>
                <w:kern w:val="20"/>
              </w:rPr>
            </w:pPr>
            <w:r w:rsidRPr="00B615C3">
              <w:rPr>
                <w:kern w:val="20"/>
              </w:rPr>
              <w:t>Annual Arithmetic Average (µg/m</w:t>
            </w:r>
            <w:r w:rsidRPr="00B615C3">
              <w:rPr>
                <w:kern w:val="20"/>
                <w:vertAlign w:val="superscript"/>
              </w:rPr>
              <w:t>3</w:t>
            </w:r>
            <w:r w:rsidRPr="00B615C3">
              <w:rPr>
                <w:kern w:val="20"/>
              </w:rPr>
              <w:t>)</w:t>
            </w:r>
          </w:p>
        </w:tc>
        <w:tc>
          <w:tcPr>
            <w:tcW w:w="0" w:type="auto"/>
            <w:tcBorders>
              <w:top w:val="single" w:sz="4" w:space="0" w:color="auto"/>
              <w:left w:val="single" w:sz="4" w:space="0" w:color="auto"/>
              <w:bottom w:val="single" w:sz="4" w:space="0" w:color="auto"/>
              <w:right w:val="single" w:sz="4" w:space="0" w:color="auto"/>
            </w:tcBorders>
            <w:hideMark/>
          </w:tcPr>
          <w:p w14:paraId="22A0EC70" w14:textId="77777777" w:rsidR="00B73A46" w:rsidRPr="00B615C3" w:rsidRDefault="00B73A46" w:rsidP="007C589D">
            <w:pPr>
              <w:pStyle w:val="TableText-405PROJECT"/>
              <w:keepNext/>
              <w:jc w:val="center"/>
              <w:rPr>
                <w:kern w:val="20"/>
              </w:rPr>
            </w:pPr>
            <w:r w:rsidRPr="00B615C3">
              <w:rPr>
                <w:kern w:val="20"/>
              </w:rPr>
              <w:t>12</w:t>
            </w:r>
          </w:p>
        </w:tc>
        <w:tc>
          <w:tcPr>
            <w:tcW w:w="0" w:type="auto"/>
            <w:tcBorders>
              <w:top w:val="single" w:sz="4" w:space="0" w:color="auto"/>
              <w:left w:val="single" w:sz="4" w:space="0" w:color="auto"/>
              <w:bottom w:val="single" w:sz="4" w:space="0" w:color="auto"/>
              <w:right w:val="single" w:sz="4" w:space="0" w:color="auto"/>
            </w:tcBorders>
            <w:hideMark/>
          </w:tcPr>
          <w:p w14:paraId="129B4A13" w14:textId="77777777" w:rsidR="00B73A46" w:rsidRPr="00B615C3" w:rsidRDefault="00B73A46" w:rsidP="007C589D">
            <w:pPr>
              <w:pStyle w:val="TableText-405PROJECT"/>
              <w:keepNext/>
              <w:jc w:val="center"/>
              <w:rPr>
                <w:kern w:val="20"/>
              </w:rPr>
            </w:pPr>
            <w:r w:rsidRPr="00B615C3">
              <w:rPr>
                <w:kern w:val="20"/>
              </w:rPr>
              <w:t>15</w:t>
            </w:r>
          </w:p>
        </w:tc>
        <w:tc>
          <w:tcPr>
            <w:tcW w:w="0" w:type="auto"/>
            <w:tcBorders>
              <w:top w:val="single" w:sz="4" w:space="0" w:color="auto"/>
              <w:left w:val="single" w:sz="4" w:space="0" w:color="auto"/>
              <w:bottom w:val="single" w:sz="4" w:space="0" w:color="auto"/>
              <w:right w:val="single" w:sz="4" w:space="0" w:color="auto"/>
            </w:tcBorders>
            <w:hideMark/>
          </w:tcPr>
          <w:p w14:paraId="6A758185" w14:textId="77777777" w:rsidR="00B73A46" w:rsidRPr="00B615C3" w:rsidRDefault="00B73A46" w:rsidP="007C589D">
            <w:pPr>
              <w:pStyle w:val="TableText-405PROJECT"/>
              <w:keepNext/>
              <w:jc w:val="center"/>
              <w:rPr>
                <w:kern w:val="20"/>
              </w:rPr>
            </w:pPr>
            <w:r>
              <w:rPr>
                <w:kern w:val="20"/>
              </w:rPr>
              <w:t>12</w:t>
            </w:r>
          </w:p>
        </w:tc>
        <w:tc>
          <w:tcPr>
            <w:tcW w:w="0" w:type="auto"/>
            <w:tcBorders>
              <w:top w:val="single" w:sz="4" w:space="0" w:color="auto"/>
              <w:left w:val="single" w:sz="4" w:space="0" w:color="auto"/>
              <w:bottom w:val="single" w:sz="4" w:space="0" w:color="auto"/>
              <w:right w:val="single" w:sz="4" w:space="0" w:color="auto"/>
            </w:tcBorders>
            <w:hideMark/>
          </w:tcPr>
          <w:p w14:paraId="38F6BFDE" w14:textId="77777777" w:rsidR="00B73A46" w:rsidRPr="000E5FEB" w:rsidRDefault="00B73A46" w:rsidP="007C589D">
            <w:pPr>
              <w:pStyle w:val="TableText-405PROJECT"/>
              <w:keepNext/>
              <w:jc w:val="center"/>
              <w:rPr>
                <w:kern w:val="20"/>
                <w:highlight w:val="cyan"/>
              </w:rPr>
            </w:pPr>
            <w:r w:rsidRPr="000E5FEB">
              <w:rPr>
                <w:kern w:val="20"/>
                <w:highlight w:val="cyan"/>
              </w:rPr>
              <w:t>15</w:t>
            </w:r>
          </w:p>
        </w:tc>
      </w:tr>
      <w:tr w:rsidR="00B73A46" w:rsidRPr="008224FF" w14:paraId="507CDF2B" w14:textId="77777777" w:rsidTr="00B73A46">
        <w:trPr>
          <w:trHeight w:val="1718"/>
        </w:trPr>
        <w:tc>
          <w:tcPr>
            <w:tcW w:w="0" w:type="auto"/>
            <w:gridSpan w:val="5"/>
            <w:tcBorders>
              <w:top w:val="single" w:sz="4" w:space="0" w:color="auto"/>
              <w:left w:val="nil"/>
              <w:bottom w:val="nil"/>
              <w:right w:val="nil"/>
            </w:tcBorders>
          </w:tcPr>
          <w:p w14:paraId="394FC75E" w14:textId="77777777" w:rsidR="00B73A46" w:rsidRPr="00885E8A" w:rsidRDefault="00B73A46" w:rsidP="00B73A46">
            <w:pPr>
              <w:pStyle w:val="TableNotes-405PROJECT"/>
              <w:rPr>
                <w:rFonts w:asciiTheme="majorHAnsi" w:hAnsiTheme="majorHAnsi"/>
                <w:kern w:val="20"/>
                <w:vertAlign w:val="superscript"/>
              </w:rPr>
            </w:pPr>
            <w:r w:rsidRPr="00885E8A">
              <w:rPr>
                <w:rFonts w:asciiTheme="majorHAnsi" w:hAnsiTheme="majorHAnsi"/>
                <w:kern w:val="20"/>
              </w:rPr>
              <w:t>µg/m3 = micrograms per cubic meter; ppm = parts per million (by volume); NS = no standard established; TSP = total suspended particulates</w:t>
            </w:r>
            <w:r w:rsidRPr="00885E8A">
              <w:rPr>
                <w:rFonts w:asciiTheme="majorHAnsi" w:hAnsiTheme="majorHAnsi"/>
                <w:kern w:val="20"/>
                <w:vertAlign w:val="superscript"/>
              </w:rPr>
              <w:t xml:space="preserve"> </w:t>
            </w:r>
          </w:p>
          <w:p w14:paraId="44A030CC" w14:textId="77777777" w:rsidR="00B73A46" w:rsidRPr="00CF02EA" w:rsidRDefault="00B73A46" w:rsidP="00B73A46">
            <w:pPr>
              <w:pStyle w:val="TableNotes-405PROJECT"/>
              <w:rPr>
                <w:rFonts w:asciiTheme="majorHAnsi" w:hAnsiTheme="majorHAnsi"/>
                <w:kern w:val="20"/>
              </w:rPr>
            </w:pPr>
            <w:r w:rsidRPr="00885E8A">
              <w:rPr>
                <w:rFonts w:asciiTheme="majorHAnsi" w:hAnsiTheme="majorHAnsi"/>
                <w:kern w:val="20"/>
              </w:rPr>
              <w:t>National standards other than O</w:t>
            </w:r>
            <w:r w:rsidRPr="00885E8A">
              <w:rPr>
                <w:rFonts w:asciiTheme="majorHAnsi" w:hAnsiTheme="majorHAnsi"/>
                <w:kern w:val="20"/>
                <w:vertAlign w:val="subscript"/>
              </w:rPr>
              <w:t>3</w:t>
            </w:r>
            <w:r w:rsidRPr="00885E8A">
              <w:rPr>
                <w:rFonts w:asciiTheme="majorHAnsi" w:hAnsiTheme="majorHAnsi"/>
                <w:kern w:val="20"/>
              </w:rPr>
              <w:t>, PM, and those based on annual averages or annual arithmetic means are not to be exceeded more than once a year. The O</w:t>
            </w:r>
            <w:r w:rsidRPr="00885E8A">
              <w:rPr>
                <w:rFonts w:asciiTheme="majorHAnsi" w:hAnsiTheme="majorHAnsi"/>
                <w:kern w:val="20"/>
                <w:vertAlign w:val="subscript"/>
              </w:rPr>
              <w:t>3</w:t>
            </w:r>
            <w:r w:rsidRPr="00885E8A">
              <w:rPr>
                <w:rFonts w:asciiTheme="majorHAnsi" w:hAnsiTheme="majorHAnsi"/>
                <w:kern w:val="20"/>
              </w:rPr>
              <w:t xml:space="preserve"> standard is attained when the fourth highest 8</w:t>
            </w:r>
            <w:r w:rsidRPr="00885E8A">
              <w:rPr>
                <w:rFonts w:asciiTheme="majorHAnsi" w:hAnsiTheme="majorHAnsi"/>
                <w:kern w:val="20"/>
              </w:rPr>
              <w:noBreakHyphen/>
              <w:t>hour concentration in a year, averaged over three years, is equal to or less than the standard. For PM</w:t>
            </w:r>
            <w:r w:rsidRPr="00885E8A">
              <w:rPr>
                <w:rFonts w:asciiTheme="majorHAnsi" w:hAnsiTheme="majorHAnsi"/>
                <w:kern w:val="20"/>
                <w:vertAlign w:val="subscript"/>
              </w:rPr>
              <w:t>10</w:t>
            </w:r>
            <w:r w:rsidRPr="00885E8A">
              <w:rPr>
                <w:rFonts w:asciiTheme="majorHAnsi" w:hAnsiTheme="majorHAnsi"/>
                <w:kern w:val="20"/>
              </w:rPr>
              <w:t>, the 24</w:t>
            </w:r>
            <w:r w:rsidRPr="00885E8A">
              <w:rPr>
                <w:rFonts w:asciiTheme="majorHAnsi" w:hAnsiTheme="majorHAnsi"/>
                <w:kern w:val="20"/>
              </w:rPr>
              <w:noBreakHyphen/>
              <w:t>hour standard is attained when the expected number of days per calendar year with a 24</w:t>
            </w:r>
            <w:r w:rsidRPr="00885E8A">
              <w:rPr>
                <w:rFonts w:asciiTheme="majorHAnsi" w:hAnsiTheme="majorHAnsi"/>
                <w:kern w:val="20"/>
              </w:rPr>
              <w:noBreakHyphen/>
              <w:t>hour average concentration above 150 µg/m</w:t>
            </w:r>
            <w:r w:rsidRPr="00885E8A">
              <w:rPr>
                <w:rFonts w:asciiTheme="majorHAnsi" w:hAnsiTheme="majorHAnsi"/>
                <w:kern w:val="20"/>
                <w:vertAlign w:val="superscript"/>
              </w:rPr>
              <w:t>3</w:t>
            </w:r>
            <w:r w:rsidRPr="00885E8A">
              <w:rPr>
                <w:rFonts w:asciiTheme="majorHAnsi" w:hAnsiTheme="majorHAnsi"/>
                <w:kern w:val="20"/>
              </w:rPr>
              <w:t xml:space="preserve"> is equal to or less than 1. For PM</w:t>
            </w:r>
            <w:r w:rsidRPr="00885E8A">
              <w:rPr>
                <w:rFonts w:asciiTheme="majorHAnsi" w:hAnsiTheme="majorHAnsi"/>
                <w:kern w:val="20"/>
                <w:vertAlign w:val="subscript"/>
              </w:rPr>
              <w:t>2.5</w:t>
            </w:r>
            <w:r w:rsidRPr="00885E8A">
              <w:rPr>
                <w:rFonts w:asciiTheme="majorHAnsi" w:hAnsiTheme="majorHAnsi"/>
                <w:kern w:val="20"/>
              </w:rPr>
              <w:t>, the 24</w:t>
            </w:r>
            <w:r w:rsidRPr="00885E8A">
              <w:rPr>
                <w:rFonts w:asciiTheme="majorHAnsi" w:hAnsiTheme="majorHAnsi"/>
                <w:kern w:val="20"/>
              </w:rPr>
              <w:noBreakHyphen/>
              <w:t>hour standard is attained when 98 percent of the daily concentrations, averaged over 3 years, is equal to or less than the standard.</w:t>
            </w:r>
          </w:p>
        </w:tc>
      </w:tr>
    </w:tbl>
    <w:p w14:paraId="1B5A50AF" w14:textId="5B79BA4B" w:rsidR="00C33877" w:rsidRDefault="00C33877" w:rsidP="00D1703B"/>
    <w:p w14:paraId="67ECB778" w14:textId="0BBA9933" w:rsidR="00C33877" w:rsidRDefault="00C33877" w:rsidP="007C589D">
      <w:pPr>
        <w:pStyle w:val="Heading3"/>
      </w:pPr>
      <w:r>
        <w:t>NEPA</w:t>
      </w:r>
    </w:p>
    <w:p w14:paraId="5A96B892" w14:textId="77777777" w:rsidR="00B73A46" w:rsidRPr="008F4788" w:rsidRDefault="00B73A46" w:rsidP="00B73A46">
      <w:r w:rsidRPr="008F4788">
        <w:t>The National Environmental Policy Act (NEPA) and Washington State Environmental Policy Act (SEPA) require that environmental reviews include an evaluation of the effects of a proposed project on air quality. FHWA provides guidance on addressing air quality in environmental documents through their Air Quality Technical Advisory</w:t>
      </w:r>
      <w:r w:rsidRPr="008F4788">
        <w:rPr>
          <w:rStyle w:val="FootnoteReference"/>
        </w:rPr>
        <w:footnoteReference w:id="4"/>
      </w:r>
      <w:r w:rsidRPr="008F4788">
        <w:t xml:space="preserve"> and their 2016 Updated Interim Guidance on Mobile Source Air Toxics (MSATs) Analysis in NEPA Documents</w:t>
      </w:r>
      <w:r w:rsidRPr="008F4788">
        <w:rPr>
          <w:rStyle w:val="FootnoteReference"/>
        </w:rPr>
        <w:footnoteReference w:id="5"/>
      </w:r>
      <w:r w:rsidRPr="008F4788">
        <w:t xml:space="preserve">. </w:t>
      </w:r>
      <w:r w:rsidRPr="008F4788">
        <w:rPr>
          <w:highlight w:val="cyan"/>
        </w:rPr>
        <w:t>In addition, in an EIS, FHWA requires energy</w:t>
      </w:r>
      <w:r w:rsidRPr="008F4788">
        <w:rPr>
          <w:rStyle w:val="FootnoteReference"/>
          <w:highlight w:val="cyan"/>
        </w:rPr>
        <w:footnoteReference w:id="6"/>
      </w:r>
      <w:r w:rsidRPr="008F4788">
        <w:rPr>
          <w:highlight w:val="cyan"/>
        </w:rPr>
        <w:t xml:space="preserve"> effects to be considered.</w:t>
      </w:r>
      <w:r w:rsidRPr="008F4788">
        <w:t xml:space="preserve"> WSDOT requires greenhouse gas emissions be considered in project documentation and </w:t>
      </w:r>
      <w:r w:rsidRPr="008F4788">
        <w:lastRenderedPageBreak/>
        <w:t>follows the agency Project-Level Greenhouse Gas Evaluations under NEPA and SEPA</w:t>
      </w:r>
      <w:r w:rsidRPr="008F4788">
        <w:rPr>
          <w:rStyle w:val="FootnoteReference"/>
        </w:rPr>
        <w:footnoteReference w:id="7"/>
      </w:r>
      <w:r w:rsidRPr="008F4788">
        <w:t xml:space="preserve"> guidance. </w:t>
      </w:r>
    </w:p>
    <w:p w14:paraId="6333A9E1" w14:textId="77777777" w:rsidR="00B73A46" w:rsidRPr="00D64FD7" w:rsidRDefault="00B73A46" w:rsidP="00B73A46">
      <w:pPr>
        <w:rPr>
          <w:highlight w:val="cyan"/>
        </w:rPr>
      </w:pPr>
    </w:p>
    <w:p w14:paraId="50090BB5" w14:textId="77777777" w:rsidR="00B73A46" w:rsidRPr="008F4788" w:rsidRDefault="00B73A46" w:rsidP="007C589D">
      <w:pPr>
        <w:pStyle w:val="Heading4"/>
      </w:pPr>
      <w:r w:rsidRPr="008F4788">
        <w:t>Mobile Source Air Toxics (MSAT)</w:t>
      </w:r>
    </w:p>
    <w:p w14:paraId="0612F8F9" w14:textId="77777777" w:rsidR="00B73A46" w:rsidRPr="008F4788" w:rsidRDefault="00B73A46" w:rsidP="00B73A46">
      <w:r w:rsidRPr="008F4788">
        <w:t>NEPA requires, to the fullest extent possible, that the policies, regulations, and laws of the Federal Government be interpreted and administered in accordance with its environmental protection goals, and that Federal agencies use an interdisciplinary approach in planning and decision-making for any action that adversely impacts the environment (42 U.S.C. 4332). In addition to evaluating the potential environmental effects, FHWA must also take into account the need for safe and efficient transportation in reaching a decision that is in the best overall public interest (23 U.S.C. 109(h)). The FHWA policies and procedures for implementing NEPA are contained in regulation at 23 CFR Part 771.</w:t>
      </w:r>
    </w:p>
    <w:p w14:paraId="20E6103F" w14:textId="77777777" w:rsidR="00B73A46" w:rsidRPr="00D64FD7" w:rsidRDefault="00B73A46" w:rsidP="00B73A46">
      <w:pPr>
        <w:rPr>
          <w:highlight w:val="cyan"/>
        </w:rPr>
      </w:pPr>
    </w:p>
    <w:p w14:paraId="350A05AC" w14:textId="77777777" w:rsidR="00B73A46" w:rsidRPr="008F4788" w:rsidRDefault="00B73A46" w:rsidP="00A27A81">
      <w:pPr>
        <w:pStyle w:val="Style3Heading"/>
      </w:pPr>
      <w:r w:rsidRPr="008F4788">
        <w:t>Consideration of MSAT in NEPA Documents</w:t>
      </w:r>
    </w:p>
    <w:p w14:paraId="5C886795" w14:textId="77777777" w:rsidR="00B73A46" w:rsidRPr="008F4788" w:rsidRDefault="00B73A46" w:rsidP="00B73A46">
      <w:r w:rsidRPr="008F4788">
        <w:t>FHWA developed a tiered approach with three categories for analyzing MSAT in NEPA documents, depending on specific project circumstances:</w:t>
      </w:r>
    </w:p>
    <w:p w14:paraId="77FA9FA2" w14:textId="77777777" w:rsidR="00B73A46" w:rsidRPr="008F4788" w:rsidRDefault="00B73A46" w:rsidP="00B73A46">
      <w:pPr>
        <w:pStyle w:val="NumList"/>
        <w:numPr>
          <w:ilvl w:val="0"/>
          <w:numId w:val="26"/>
        </w:numPr>
      </w:pPr>
      <w:r w:rsidRPr="008F4788">
        <w:t>No analysis for projects with no potential for meaningful MSAT effects;</w:t>
      </w:r>
    </w:p>
    <w:p w14:paraId="64CB0841" w14:textId="77777777" w:rsidR="00B73A46" w:rsidRPr="008F4788" w:rsidRDefault="00B73A46" w:rsidP="00B73A46">
      <w:pPr>
        <w:pStyle w:val="NumList"/>
        <w:numPr>
          <w:ilvl w:val="0"/>
          <w:numId w:val="26"/>
        </w:numPr>
      </w:pPr>
      <w:r w:rsidRPr="008F4788">
        <w:t>Qualitative analysis for projects with low potential MSAT effects; or</w:t>
      </w:r>
    </w:p>
    <w:p w14:paraId="5C088FEF" w14:textId="77777777" w:rsidR="00B73A46" w:rsidRPr="008F4788" w:rsidRDefault="00B73A46" w:rsidP="00B73A46">
      <w:pPr>
        <w:pStyle w:val="NumList"/>
        <w:numPr>
          <w:ilvl w:val="0"/>
          <w:numId w:val="26"/>
        </w:numPr>
      </w:pPr>
      <w:r w:rsidRPr="008F4788">
        <w:t>Quantitative analysis to differentiate alternatives for projects with higher potential MSAT effects.</w:t>
      </w:r>
    </w:p>
    <w:p w14:paraId="4F86BA5C" w14:textId="77777777" w:rsidR="00B73A46" w:rsidRPr="008F4788" w:rsidRDefault="00B73A46" w:rsidP="00B73A46">
      <w:r w:rsidRPr="008F4788">
        <w:t>For projects warranting MSAT analysis, all nine priority MSAT (discussed further in Section 4.2) should be considered.</w:t>
      </w:r>
    </w:p>
    <w:p w14:paraId="7EA842E5" w14:textId="77777777" w:rsidR="00B73A46" w:rsidRDefault="00B73A46" w:rsidP="00B73A46">
      <w:pPr>
        <w:rPr>
          <w:highlight w:val="cyan"/>
        </w:rPr>
      </w:pPr>
    </w:p>
    <w:p w14:paraId="181B457A" w14:textId="77777777" w:rsidR="00B73A46" w:rsidRPr="00EF1F04" w:rsidRDefault="00B73A46" w:rsidP="00B73A46">
      <w:pPr>
        <w:rPr>
          <w:b/>
          <w:i/>
          <w:highlight w:val="yellow"/>
        </w:rPr>
      </w:pPr>
      <w:r w:rsidRPr="00EF1F04">
        <w:rPr>
          <w:b/>
          <w:i/>
          <w:color w:val="FF0000"/>
          <w:highlight w:val="yellow"/>
        </w:rPr>
        <w:t>Use the text corresponding to the level of MSAT analysis the project requires. Modify as ne</w:t>
      </w:r>
      <w:r>
        <w:rPr>
          <w:b/>
          <w:i/>
          <w:color w:val="FF0000"/>
          <w:highlight w:val="yellow"/>
        </w:rPr>
        <w:t>eded to describe the project.</w:t>
      </w:r>
    </w:p>
    <w:p w14:paraId="69451D94" w14:textId="77777777" w:rsidR="00B73A46" w:rsidRPr="00D64FD7" w:rsidRDefault="00B73A46" w:rsidP="00B73A46">
      <w:pPr>
        <w:rPr>
          <w:highlight w:val="cyan"/>
        </w:rPr>
      </w:pPr>
    </w:p>
    <w:p w14:paraId="1B8CA2D1" w14:textId="77777777" w:rsidR="00B73A46" w:rsidRPr="007C589D" w:rsidRDefault="00B73A46" w:rsidP="00A27A81">
      <w:pPr>
        <w:pStyle w:val="Style3Heading"/>
        <w:rPr>
          <w:rStyle w:val="CommentSubjectChar"/>
          <w:b/>
          <w:bCs w:val="0"/>
          <w:sz w:val="24"/>
          <w:szCs w:val="24"/>
          <w:highlight w:val="cyan"/>
        </w:rPr>
      </w:pPr>
      <w:r w:rsidRPr="007C589D">
        <w:rPr>
          <w:rStyle w:val="CommentSubjectChar"/>
          <w:b/>
          <w:bCs w:val="0"/>
          <w:sz w:val="24"/>
          <w:szCs w:val="24"/>
          <w:highlight w:val="cyan"/>
        </w:rPr>
        <w:t>Projects with No Meaningful Potential MSAT Effects, or Exempt Projects.</w:t>
      </w:r>
    </w:p>
    <w:p w14:paraId="7D4EDC8D" w14:textId="77777777" w:rsidR="00B73A46" w:rsidRPr="00621ED6" w:rsidRDefault="00B73A46" w:rsidP="00B73A46">
      <w:pPr>
        <w:rPr>
          <w:highlight w:val="cyan"/>
        </w:rPr>
      </w:pPr>
      <w:r w:rsidRPr="00621ED6">
        <w:rPr>
          <w:highlight w:val="cyan"/>
        </w:rPr>
        <w:t>The types of projects included in this category are:</w:t>
      </w:r>
    </w:p>
    <w:p w14:paraId="55700901" w14:textId="77777777" w:rsidR="00B73A46" w:rsidRPr="00621ED6" w:rsidRDefault="00B73A46" w:rsidP="00B73A46">
      <w:pPr>
        <w:pStyle w:val="ListParagraph"/>
        <w:numPr>
          <w:ilvl w:val="0"/>
          <w:numId w:val="40"/>
        </w:numPr>
        <w:rPr>
          <w:highlight w:val="cyan"/>
        </w:rPr>
      </w:pPr>
      <w:r w:rsidRPr="00621ED6">
        <w:rPr>
          <w:highlight w:val="cyan"/>
        </w:rPr>
        <w:t>Projects qualifying as a categorical exclusion under 23 CFR 771.117;</w:t>
      </w:r>
    </w:p>
    <w:p w14:paraId="461647E6" w14:textId="77777777" w:rsidR="00B73A46" w:rsidRPr="00621ED6" w:rsidRDefault="00B73A46" w:rsidP="00B73A46">
      <w:pPr>
        <w:pStyle w:val="ListParagraph"/>
        <w:numPr>
          <w:ilvl w:val="0"/>
          <w:numId w:val="40"/>
        </w:numPr>
        <w:rPr>
          <w:highlight w:val="cyan"/>
        </w:rPr>
      </w:pPr>
      <w:r w:rsidRPr="00621ED6">
        <w:rPr>
          <w:highlight w:val="cyan"/>
        </w:rPr>
        <w:t>Projects exempt under the Clean Air Act conformity rule under 40 CFR 93.126; and</w:t>
      </w:r>
    </w:p>
    <w:p w14:paraId="5FD128E8" w14:textId="77777777" w:rsidR="00B73A46" w:rsidRPr="00621ED6" w:rsidRDefault="00B73A46" w:rsidP="00B73A46">
      <w:pPr>
        <w:pStyle w:val="ListParagraph"/>
        <w:numPr>
          <w:ilvl w:val="0"/>
          <w:numId w:val="40"/>
        </w:numPr>
        <w:rPr>
          <w:highlight w:val="cyan"/>
        </w:rPr>
      </w:pPr>
      <w:r w:rsidRPr="00621ED6">
        <w:rPr>
          <w:highlight w:val="cyan"/>
        </w:rPr>
        <w:t>Other projects with no meaningful impacts on traffic volumes or vehicle mix.</w:t>
      </w:r>
    </w:p>
    <w:p w14:paraId="761B2AC3" w14:textId="77777777" w:rsidR="00B73A46" w:rsidRDefault="00B73A46" w:rsidP="00B73A46">
      <w:pPr>
        <w:rPr>
          <w:highlight w:val="cyan"/>
        </w:rPr>
      </w:pPr>
      <w:r w:rsidRPr="00621ED6">
        <w:rPr>
          <w:highlight w:val="cyan"/>
        </w:rPr>
        <w:t xml:space="preserve">For projects that are categorically excluded under 23 CFR 771.117, or are exempt from conformity requirements under the Clean Air Act pursuant to 40 CFR 93.126, no analysis or discussion of MSAT is necessary. Documentation sufficient to demonstrate that the project qualifies as a categorical exclusion and/or exempt project will suffice. For other projects with no or negligible traffic impacts, regardless of the class of NEPA environmental document, no MSAT analysis is recommended. However, the project record should </w:t>
      </w:r>
      <w:r w:rsidRPr="00621ED6">
        <w:rPr>
          <w:highlight w:val="cyan"/>
        </w:rPr>
        <w:lastRenderedPageBreak/>
        <w:t>document in the EA or EIS the basis for the determination of no meaningful potential impacts with a brief description of the factors considered. Example language, which must be modified to correspond with local and project-specific circumstances, is provided in </w:t>
      </w:r>
      <w:hyperlink r:id="rId13" w:history="1">
        <w:r w:rsidRPr="00621ED6">
          <w:rPr>
            <w:highlight w:val="cyan"/>
          </w:rPr>
          <w:t>Appendix A</w:t>
        </w:r>
      </w:hyperlink>
      <w:r w:rsidRPr="00621ED6">
        <w:rPr>
          <w:highlight w:val="cyan"/>
        </w:rPr>
        <w:t>.</w:t>
      </w:r>
    </w:p>
    <w:p w14:paraId="0B447CEB" w14:textId="77777777" w:rsidR="00B73A46" w:rsidRPr="00621ED6" w:rsidRDefault="00B73A46" w:rsidP="00B73A46">
      <w:pPr>
        <w:rPr>
          <w:highlight w:val="cyan"/>
        </w:rPr>
      </w:pPr>
    </w:p>
    <w:p w14:paraId="5D79036F" w14:textId="77777777" w:rsidR="00B73A46" w:rsidRPr="007C589D" w:rsidRDefault="00B73A46" w:rsidP="007C589D">
      <w:pPr>
        <w:pStyle w:val="Style3Heading"/>
        <w:rPr>
          <w:rStyle w:val="CommentSubjectChar"/>
          <w:b/>
          <w:sz w:val="24"/>
          <w:szCs w:val="24"/>
          <w:highlight w:val="cyan"/>
        </w:rPr>
      </w:pPr>
      <w:r w:rsidRPr="007C589D">
        <w:rPr>
          <w:rStyle w:val="CommentSubjectChar"/>
          <w:b/>
          <w:sz w:val="24"/>
          <w:szCs w:val="24"/>
          <w:highlight w:val="cyan"/>
        </w:rPr>
        <w:t>Projects with Low Potential MSAT Effects</w:t>
      </w:r>
    </w:p>
    <w:p w14:paraId="06859EC8" w14:textId="77777777" w:rsidR="00B73A46" w:rsidRDefault="00B73A46" w:rsidP="00B73A46">
      <w:pPr>
        <w:rPr>
          <w:highlight w:val="cyan"/>
        </w:rPr>
      </w:pPr>
      <w:r w:rsidRPr="004769C1">
        <w:rPr>
          <w:highlight w:val="cyan"/>
        </w:rPr>
        <w:t>The types of projects included in this category are those that serve to improve operations of highway, transit, or freight without adding substantial new capacity or without creating a facility that is likely to meaningfully increase MSAT emissions. This category covers a broad range of projects.</w:t>
      </w:r>
    </w:p>
    <w:p w14:paraId="4F290FE2" w14:textId="77777777" w:rsidR="00B73A46" w:rsidRPr="004769C1" w:rsidRDefault="00B73A46" w:rsidP="00B73A46">
      <w:pPr>
        <w:rPr>
          <w:highlight w:val="cyan"/>
        </w:rPr>
      </w:pPr>
    </w:p>
    <w:p w14:paraId="755337E6" w14:textId="77777777" w:rsidR="00B73A46" w:rsidRDefault="00B73A46" w:rsidP="00B73A46">
      <w:pPr>
        <w:rPr>
          <w:highlight w:val="cyan"/>
        </w:rPr>
      </w:pPr>
      <w:r w:rsidRPr="004769C1">
        <w:rPr>
          <w:highlight w:val="cyan"/>
        </w:rPr>
        <w:t>We anticipate that most highway projects that need an MSAT assessment will fall into this category. Examples of these types of projects are minor widening projects; new interchanges; replacing a signalized intersection on a surface street; and projects where design year traffic is projected to be less than 140,000 to 150,000 annual average daily traffic (AADT).</w:t>
      </w:r>
    </w:p>
    <w:p w14:paraId="14947ADA" w14:textId="77777777" w:rsidR="00B73A46" w:rsidRPr="004769C1" w:rsidRDefault="00B73A46" w:rsidP="00B73A46">
      <w:pPr>
        <w:rPr>
          <w:highlight w:val="cyan"/>
        </w:rPr>
      </w:pPr>
    </w:p>
    <w:p w14:paraId="1F39C042" w14:textId="77777777" w:rsidR="00B73A46" w:rsidRDefault="00B73A46" w:rsidP="00B73A46">
      <w:pPr>
        <w:rPr>
          <w:highlight w:val="cyan"/>
        </w:rPr>
      </w:pPr>
      <w:r w:rsidRPr="004769C1">
        <w:rPr>
          <w:highlight w:val="cyan"/>
        </w:rPr>
        <w:t>For these projects, a qualitative assessment of emissions projections should be conducted. This qualitative assessment should compare, in narrative form, the expected effect of the project on traffic volumes, vehicle mix, or routing of traffic and the associated changes in MSAT for the project alternatives, including no-build, based on VMT, vehicle mix, and speed. It should also discuss national trend data projecting substantial overall reductions in emissions due to stricter engine and fuel regulations issued by EPA. Because the emission effects of these projects typically are low, we expect there would be no appreciable difference in overall MSAT emissions among the various alternatives.</w:t>
      </w:r>
    </w:p>
    <w:p w14:paraId="05916D43" w14:textId="77777777" w:rsidR="00B73A46" w:rsidRPr="004769C1" w:rsidRDefault="00B73A46" w:rsidP="00B73A46">
      <w:pPr>
        <w:rPr>
          <w:highlight w:val="cyan"/>
        </w:rPr>
      </w:pPr>
    </w:p>
    <w:p w14:paraId="3719492E" w14:textId="77777777" w:rsidR="00B73A46" w:rsidRDefault="00B73A46" w:rsidP="00B73A46">
      <w:pPr>
        <w:rPr>
          <w:highlight w:val="cyan"/>
        </w:rPr>
      </w:pPr>
      <w:r w:rsidRPr="004769C1">
        <w:rPr>
          <w:highlight w:val="cyan"/>
        </w:rPr>
        <w:t>In addition to the qualitative assessment, a NEPA document for this category of projects must include a discussion of information that is incomplete or unavailable for a project specific assessment of MSAT impacts, in compliance with the Council on Environmental Quality (CEQ) regulations (40 CFR 1502.22(b)). This discussion should explain how current scientific techniques, tools, and data are not sufficient to accurately estimate human health impacts that could result from a transportation project in a way that would be useful to decision-makers. Also in compliance with 40 CFR 150.22(b), this discussion should contain information regarding the health impacts of MSAT. See </w:t>
      </w:r>
      <w:hyperlink r:id="rId14" w:history="1">
        <w:r w:rsidRPr="00621ED6">
          <w:rPr>
            <w:highlight w:val="cyan"/>
          </w:rPr>
          <w:t>Appendix C</w:t>
        </w:r>
      </w:hyperlink>
      <w:r w:rsidRPr="004769C1">
        <w:rPr>
          <w:highlight w:val="cyan"/>
        </w:rPr>
        <w:t>.</w:t>
      </w:r>
    </w:p>
    <w:p w14:paraId="42B1BBDF" w14:textId="76C4FB09" w:rsidR="00B73A46" w:rsidRPr="00D64FD7" w:rsidRDefault="00B73A46" w:rsidP="00B73A46">
      <w:pPr>
        <w:rPr>
          <w:highlight w:val="cyan"/>
        </w:rPr>
      </w:pPr>
    </w:p>
    <w:p w14:paraId="378130C8" w14:textId="77777777" w:rsidR="00B73A46" w:rsidRPr="007C589D" w:rsidRDefault="00B73A46" w:rsidP="007C589D">
      <w:pPr>
        <w:pStyle w:val="Style3Heading"/>
        <w:rPr>
          <w:highlight w:val="cyan"/>
        </w:rPr>
      </w:pPr>
      <w:r w:rsidRPr="007C589D">
        <w:rPr>
          <w:rStyle w:val="CommentSubjectChar"/>
          <w:b/>
          <w:bCs w:val="0"/>
          <w:sz w:val="24"/>
          <w:szCs w:val="24"/>
          <w:highlight w:val="cyan"/>
        </w:rPr>
        <w:t>Projects with Higher Potential MSAT Effects</w:t>
      </w:r>
    </w:p>
    <w:p w14:paraId="7239292B" w14:textId="77777777" w:rsidR="00B73A46" w:rsidRPr="00D64FD7" w:rsidRDefault="00B73A46" w:rsidP="00B73A46">
      <w:pPr>
        <w:rPr>
          <w:highlight w:val="cyan"/>
        </w:rPr>
      </w:pPr>
      <w:r w:rsidRPr="00D64FD7">
        <w:rPr>
          <w:highlight w:val="cyan"/>
        </w:rPr>
        <w:t>This category includes projects that have the potential for meaningful differences in MSAT emissions among project alternatives. We expect a limited number of projects to meet this two-pronged test. To fall into this category, a project should:</w:t>
      </w:r>
    </w:p>
    <w:p w14:paraId="15ED3F86" w14:textId="77777777" w:rsidR="00B73A46" w:rsidRPr="00D64FD7" w:rsidRDefault="00B73A46" w:rsidP="00B73A46">
      <w:pPr>
        <w:pStyle w:val="ListBullet"/>
        <w:rPr>
          <w:highlight w:val="cyan"/>
        </w:rPr>
      </w:pPr>
      <w:r w:rsidRPr="00D64FD7">
        <w:rPr>
          <w:highlight w:val="cyan"/>
        </w:rPr>
        <w:lastRenderedPageBreak/>
        <w:t>Create or significantly alter a major intermodal freight facility that has the potential to concentrate high levels of diesel particulate matter in a single location, involving a significant number of diesel vehicles for new projects or accommodating with a significant increase in the number of diesel vehicles for expansion projects; or</w:t>
      </w:r>
    </w:p>
    <w:p w14:paraId="49AAB68B" w14:textId="77777777" w:rsidR="00B73A46" w:rsidRPr="00D64FD7" w:rsidRDefault="00B73A46" w:rsidP="00B73A46">
      <w:pPr>
        <w:pStyle w:val="ListBullet"/>
        <w:rPr>
          <w:highlight w:val="cyan"/>
        </w:rPr>
      </w:pPr>
      <w:r w:rsidRPr="00D64FD7">
        <w:rPr>
          <w:highlight w:val="cyan"/>
        </w:rPr>
        <w:t>Create new capacity or add significant capacity to urban highways such as interstates, urban arterials, or urban collector-distributor routes with traffic volumes where the AADT is projected to be in the range of 140,000 to 150,000 or greater by the design year;</w:t>
      </w:r>
    </w:p>
    <w:p w14:paraId="3529DB8C" w14:textId="77777777" w:rsidR="00B73A46" w:rsidRPr="00D55753" w:rsidRDefault="00B73A46" w:rsidP="00B73A46">
      <w:pPr>
        <w:rPr>
          <w:rStyle w:val="CommentSubjectChar"/>
          <w:b w:val="0"/>
          <w:bCs w:val="0"/>
          <w:highlight w:val="cyan"/>
        </w:rPr>
      </w:pPr>
      <w:r w:rsidRPr="00D55753">
        <w:rPr>
          <w:rStyle w:val="CommentSubjectChar"/>
          <w:highlight w:val="cyan"/>
        </w:rPr>
        <w:t>And also</w:t>
      </w:r>
    </w:p>
    <w:p w14:paraId="21D856AA" w14:textId="77777777" w:rsidR="00B73A46" w:rsidRPr="00D64FD7" w:rsidRDefault="00B73A46" w:rsidP="00B73A46">
      <w:pPr>
        <w:pStyle w:val="ListBullet"/>
        <w:rPr>
          <w:highlight w:val="cyan"/>
        </w:rPr>
      </w:pPr>
      <w:r w:rsidRPr="00D64FD7">
        <w:rPr>
          <w:highlight w:val="cyan"/>
        </w:rPr>
        <w:t>Be proposed to be located in proximity to populated areas.</w:t>
      </w:r>
      <w:r w:rsidRPr="00D64FD7">
        <w:rPr>
          <w:rStyle w:val="FootnoteReference"/>
          <w:highlight w:val="cyan"/>
        </w:rPr>
        <w:footnoteReference w:id="8"/>
      </w:r>
    </w:p>
    <w:p w14:paraId="03817235" w14:textId="77777777" w:rsidR="00B73A46" w:rsidRPr="00D64FD7" w:rsidRDefault="00B73A46" w:rsidP="00B73A46">
      <w:pPr>
        <w:rPr>
          <w:highlight w:val="cyan"/>
        </w:rPr>
      </w:pPr>
    </w:p>
    <w:p w14:paraId="18070272" w14:textId="77777777" w:rsidR="00B73A46" w:rsidRDefault="00B73A46" w:rsidP="00B73A46">
      <w:r w:rsidRPr="00D64FD7">
        <w:rPr>
          <w:highlight w:val="cyan"/>
        </w:rPr>
        <w:t>The North Spokane Corridor project falls into the category of projects with higher potential MSATs. FHWA states that projects falling within this category should be more rigorously assessed for impacts. This approach would include a quantitative analysis to forecast local-specific emission trends of the priority MSAT for each alternative, to use as a basis of comparison.</w:t>
      </w:r>
      <w:r w:rsidRPr="00056897">
        <w:t xml:space="preserve"> </w:t>
      </w:r>
    </w:p>
    <w:p w14:paraId="1093F1F4" w14:textId="2AA82003" w:rsidR="00C33877" w:rsidRDefault="00C33877" w:rsidP="00D1703B"/>
    <w:p w14:paraId="0EE0E451" w14:textId="5551E9ED" w:rsidR="00B73A46" w:rsidRDefault="00B73A46" w:rsidP="007C589D">
      <w:pPr>
        <w:pStyle w:val="Heading4"/>
      </w:pPr>
      <w:r>
        <w:t>Greenhous Gas Emissions</w:t>
      </w:r>
    </w:p>
    <w:p w14:paraId="6A191EE2" w14:textId="77777777" w:rsidR="00B73A46" w:rsidRDefault="00B73A46" w:rsidP="00B73A46">
      <w:r w:rsidRPr="00303D6C">
        <w:rPr>
          <w:rFonts w:cs="Lucida Sans Unicode"/>
          <w:color w:val="151515"/>
          <w:shd w:val="clear" w:color="auto" w:fill="FFFFFF"/>
        </w:rPr>
        <w:t xml:space="preserve">Gases that trap heat in the atmosphere are called greenhouse gases (GHG). </w:t>
      </w:r>
      <w:r w:rsidRPr="00303D6C">
        <w:t>Vehicles emit a variety of gases during their operation; some of these are greenhouse gases, and include water vapor; carbon dioxide (CO</w:t>
      </w:r>
      <w:r w:rsidRPr="00303D6C">
        <w:rPr>
          <w:vertAlign w:val="subscript"/>
        </w:rPr>
        <w:t>2</w:t>
      </w:r>
      <w:r w:rsidRPr="00303D6C">
        <w:t>); methane (CH</w:t>
      </w:r>
      <w:r w:rsidRPr="00303D6C">
        <w:rPr>
          <w:vertAlign w:val="subscript"/>
        </w:rPr>
        <w:t>4</w:t>
      </w:r>
      <w:r w:rsidRPr="00303D6C">
        <w:t>), also known as “marsh gas”; and nitrous oxide (N</w:t>
      </w:r>
      <w:r w:rsidRPr="00303D6C">
        <w:rPr>
          <w:vertAlign w:val="subscript"/>
        </w:rPr>
        <w:t>2</w:t>
      </w:r>
      <w:r w:rsidRPr="00303D6C">
        <w:t>O), which is used in dentists’ offices and also referred to as “laughing gas.” Any process that burns fossil fuel releases greenhouse gases into the air. CO</w:t>
      </w:r>
      <w:r w:rsidRPr="00303D6C">
        <w:rPr>
          <w:vertAlign w:val="subscript"/>
        </w:rPr>
        <w:t>2</w:t>
      </w:r>
      <w:r w:rsidRPr="00303D6C">
        <w:t xml:space="preserve"> comprises the bulk of the greenhouse gas emissions from transportation activities.</w:t>
      </w:r>
    </w:p>
    <w:p w14:paraId="60C2C294" w14:textId="77777777" w:rsidR="00B73A46" w:rsidRPr="00303D6C" w:rsidRDefault="00B73A46" w:rsidP="00B73A46"/>
    <w:p w14:paraId="2AAF98FC" w14:textId="77777777" w:rsidR="00B73A46" w:rsidRPr="00303D6C" w:rsidRDefault="00B73A46" w:rsidP="00B73A46">
      <w:r w:rsidRPr="00303D6C">
        <w:t>Greenhouse gases differ in their ability to trap heat. For example, 1 ton of CO</w:t>
      </w:r>
      <w:r w:rsidRPr="00303D6C">
        <w:rPr>
          <w:vertAlign w:val="subscript"/>
        </w:rPr>
        <w:t>2</w:t>
      </w:r>
      <w:r w:rsidRPr="00303D6C">
        <w:t xml:space="preserve"> has a different effect than 1 ton of CH</w:t>
      </w:r>
      <w:r w:rsidRPr="00303D6C">
        <w:rPr>
          <w:vertAlign w:val="subscript"/>
        </w:rPr>
        <w:t>4</w:t>
      </w:r>
      <w:r w:rsidRPr="00303D6C">
        <w:t>. To compare emissions of different greenhouse gases, inventory compilers use a weighting factor called “Global Warming Potential” (GWP). To use a GWP, the heat-trapping ability of 1 metric ton (1,000 kilograms) of CO</w:t>
      </w:r>
      <w:r w:rsidRPr="00303D6C">
        <w:rPr>
          <w:vertAlign w:val="subscript"/>
        </w:rPr>
        <w:t>2</w:t>
      </w:r>
      <w:r w:rsidRPr="00303D6C">
        <w:t xml:space="preserve"> is taken as the standard, and emissions are expressed in terms of CO</w:t>
      </w:r>
      <w:r w:rsidRPr="00303D6C">
        <w:rPr>
          <w:vertAlign w:val="subscript"/>
        </w:rPr>
        <w:t>2</w:t>
      </w:r>
      <w:r w:rsidRPr="00303D6C">
        <w:t>-equivalent (CO</w:t>
      </w:r>
      <w:r w:rsidRPr="00303D6C">
        <w:rPr>
          <w:vertAlign w:val="subscript"/>
        </w:rPr>
        <w:t>2</w:t>
      </w:r>
      <w:r w:rsidRPr="00303D6C">
        <w:t>e). The CO</w:t>
      </w:r>
      <w:r w:rsidRPr="00303D6C">
        <w:rPr>
          <w:vertAlign w:val="subscript"/>
        </w:rPr>
        <w:t>2</w:t>
      </w:r>
      <w:r w:rsidRPr="00303D6C">
        <w:t>e for a gas is derived by multiplying the tons of the gas by the associated GWP. The GWP of CO</w:t>
      </w:r>
      <w:r w:rsidRPr="00303D6C">
        <w:rPr>
          <w:vertAlign w:val="subscript"/>
        </w:rPr>
        <w:t>2</w:t>
      </w:r>
      <w:r w:rsidRPr="00303D6C">
        <w:t xml:space="preserve"> is 1. In EPA’s MOVES2014a model [add brief notation for source here, and full citation in the References section.] the GWP of CH</w:t>
      </w:r>
      <w:r w:rsidRPr="00303D6C">
        <w:rPr>
          <w:vertAlign w:val="subscript"/>
        </w:rPr>
        <w:t>4</w:t>
      </w:r>
      <w:r w:rsidRPr="00303D6C">
        <w:t xml:space="preserve"> is 25, whereas the GWP of N</w:t>
      </w:r>
      <w:r w:rsidRPr="00303D6C">
        <w:rPr>
          <w:vertAlign w:val="subscript"/>
        </w:rPr>
        <w:t>2</w:t>
      </w:r>
      <w:r w:rsidRPr="00303D6C">
        <w:t>O is 298, using a 100-year basis.</w:t>
      </w:r>
      <w:r w:rsidRPr="00303D6C">
        <w:rPr>
          <w:szCs w:val="23"/>
        </w:rPr>
        <w:t xml:space="preserve"> </w:t>
      </w:r>
    </w:p>
    <w:p w14:paraId="628954F1" w14:textId="3A6D1341" w:rsidR="00B73A46" w:rsidRDefault="00B73A46" w:rsidP="00D1703B"/>
    <w:p w14:paraId="0588758A" w14:textId="4278E880" w:rsidR="00B73A46" w:rsidRDefault="00B73A46" w:rsidP="007C589D">
      <w:pPr>
        <w:pStyle w:val="Heading4"/>
      </w:pPr>
      <w:r>
        <w:t>Energy Use</w:t>
      </w:r>
    </w:p>
    <w:p w14:paraId="337C428E" w14:textId="24332251" w:rsidR="00B73A46" w:rsidRDefault="00B73A46" w:rsidP="00D1703B"/>
    <w:p w14:paraId="7732BFB8" w14:textId="77777777" w:rsidR="00B73A46" w:rsidRDefault="00B73A46" w:rsidP="00B73A46">
      <w:r w:rsidRPr="00EF1F04">
        <w:rPr>
          <w:b/>
          <w:i/>
          <w:color w:val="FF0000"/>
          <w:highlight w:val="yellow"/>
        </w:rPr>
        <w:lastRenderedPageBreak/>
        <w:t>Describe the study area. Geographically and how the links included in the analysis were selected.</w:t>
      </w:r>
      <w:r w:rsidRPr="002448D2">
        <w:rPr>
          <w:color w:val="FF0000"/>
          <w:highlight w:val="yellow"/>
        </w:rPr>
        <w:t xml:space="preserve"> </w:t>
      </w:r>
      <w:r w:rsidRPr="002448D2">
        <w:rPr>
          <w:highlight w:val="cyan"/>
        </w:rPr>
        <w:t>Example text: The topography of the Puget Sound region is characterized by low rolling hills intermingled with a complex maze of interconnected waterways linked to the Pacific Ocean through Puget Sound. The region has a mild climate with cool summers and mild, wet, and cloudy winters. Land uses in the study area are low-density residential with some higher-density residential, commercial, and industrial uses.</w:t>
      </w:r>
    </w:p>
    <w:p w14:paraId="70F1EC27" w14:textId="77777777" w:rsidR="00B73A46" w:rsidRDefault="00B73A46" w:rsidP="00B73A46"/>
    <w:p w14:paraId="5C02CF89" w14:textId="7487ACFB" w:rsidR="00C33877" w:rsidRDefault="00C33877" w:rsidP="00C33877">
      <w:pPr>
        <w:pStyle w:val="Heading2"/>
      </w:pPr>
      <w:bookmarkStart w:id="16" w:name="_Toc37412116"/>
      <w:r>
        <w:t>Study Approach</w:t>
      </w:r>
      <w:bookmarkEnd w:id="16"/>
    </w:p>
    <w:p w14:paraId="140403E2" w14:textId="17717454" w:rsidR="00C33877" w:rsidRDefault="00C33877" w:rsidP="00D1703B"/>
    <w:p w14:paraId="768879AD" w14:textId="787AF443" w:rsidR="00C33877" w:rsidRDefault="00C33877" w:rsidP="007C589D">
      <w:pPr>
        <w:pStyle w:val="Heading3"/>
      </w:pPr>
      <w:r>
        <w:t>CO Conformity Analysis</w:t>
      </w:r>
    </w:p>
    <w:p w14:paraId="758B93F6" w14:textId="77777777" w:rsidR="00B73A46" w:rsidRPr="00303D6C" w:rsidRDefault="00B73A46" w:rsidP="00B73A46">
      <w:r w:rsidRPr="00DC647E">
        <w:rPr>
          <w:highlight w:val="cyan"/>
        </w:rPr>
        <w:t>For the CO hotspot analysis, WSDOT used WASIST; see Appendix A for detailed documentation.</w:t>
      </w:r>
    </w:p>
    <w:p w14:paraId="1FF9A182" w14:textId="2DC1218A" w:rsidR="00C33877" w:rsidRDefault="00C33877" w:rsidP="00D1703B"/>
    <w:p w14:paraId="3B7D6A87" w14:textId="3B3D9FFE" w:rsidR="00C33877" w:rsidRDefault="00C33877" w:rsidP="007C589D">
      <w:pPr>
        <w:pStyle w:val="Heading3"/>
      </w:pPr>
      <w:r>
        <w:t>MSAT, GHG, and Energy Operational Analysis</w:t>
      </w:r>
    </w:p>
    <w:p w14:paraId="51E9C5F9" w14:textId="77777777" w:rsidR="00B73A46" w:rsidRDefault="00B73A46" w:rsidP="00B73A46">
      <w:r w:rsidRPr="00303D6C">
        <w:t>As required by EPA, WSDOT used the EPA Motor Vehicle Emissions Simulator (MOVES 2014b) model, and relevant local inputs for this analysis to calculate daily emissions</w:t>
      </w:r>
      <w:r>
        <w:t xml:space="preserve">. </w:t>
      </w:r>
      <w:r w:rsidRPr="00303D6C">
        <w:t xml:space="preserve">WSDOT used an emissions burden analysis to demonstrate the changes in energy consumption and tailpipe emissions for the MSAT, GHG </w:t>
      </w:r>
      <w:r>
        <w:t xml:space="preserve">emissions, and energy between </w:t>
      </w:r>
      <w:r w:rsidRPr="002448D2">
        <w:rPr>
          <w:highlight w:val="cyan"/>
        </w:rPr>
        <w:t>year</w:t>
      </w:r>
      <w:r w:rsidRPr="00303D6C">
        <w:t xml:space="preserve"> existing conditions</w:t>
      </w:r>
      <w:r>
        <w:t xml:space="preserve"> and the analysis years </w:t>
      </w:r>
      <w:r w:rsidRPr="002448D2">
        <w:rPr>
          <w:highlight w:val="cyan"/>
        </w:rPr>
        <w:t>year of opening</w:t>
      </w:r>
      <w:r w:rsidRPr="007321C1">
        <w:rPr>
          <w:color w:val="FF0000"/>
        </w:rPr>
        <w:t xml:space="preserve"> </w:t>
      </w:r>
      <w:r>
        <w:t xml:space="preserve">and </w:t>
      </w:r>
      <w:r w:rsidRPr="002448D2">
        <w:rPr>
          <w:highlight w:val="cyan"/>
        </w:rPr>
        <w:t>design year</w:t>
      </w:r>
      <w:r>
        <w:t xml:space="preserve"> with and without the Project</w:t>
      </w:r>
      <w:r w:rsidRPr="00366463">
        <w:t>.</w:t>
      </w:r>
      <w:r>
        <w:t xml:space="preserve"> </w:t>
      </w:r>
    </w:p>
    <w:p w14:paraId="105CBAA0" w14:textId="77777777" w:rsidR="00B73A46" w:rsidRDefault="00B73A46" w:rsidP="00B73A46"/>
    <w:p w14:paraId="50704572" w14:textId="77777777" w:rsidR="00B73A46" w:rsidRDefault="00B73A46" w:rsidP="00B73A46">
      <w:r>
        <w:t>MOVES</w:t>
      </w:r>
      <w:r w:rsidRPr="00EF1F04">
        <w:rPr>
          <w:highlight w:val="cyan"/>
        </w:rPr>
        <w:t>2014b</w:t>
      </w:r>
      <w:r>
        <w:t xml:space="preserve"> is the latest EPA tool for estimating emissions. The MOVES model was used to calculate daily emissions for the existing conditions, </w:t>
      </w:r>
      <w:r w:rsidRPr="002448D2">
        <w:rPr>
          <w:highlight w:val="cyan"/>
        </w:rPr>
        <w:t>2015</w:t>
      </w:r>
      <w:r>
        <w:t xml:space="preserve">, and No Build Alternative and Build Alternative (with the Project) for the </w:t>
      </w:r>
      <w:r w:rsidRPr="002448D2">
        <w:rPr>
          <w:highlight w:val="cyan"/>
        </w:rPr>
        <w:t>2025</w:t>
      </w:r>
      <w:r>
        <w:t xml:space="preserve"> and </w:t>
      </w:r>
      <w:r w:rsidRPr="002448D2">
        <w:rPr>
          <w:highlight w:val="cyan"/>
        </w:rPr>
        <w:t>2045</w:t>
      </w:r>
      <w:r>
        <w:t xml:space="preserve"> analysis years.</w:t>
      </w:r>
    </w:p>
    <w:p w14:paraId="7E24FE87" w14:textId="77777777" w:rsidR="00B73A46" w:rsidRDefault="00B73A46" w:rsidP="00B73A46"/>
    <w:p w14:paraId="3F3D3980" w14:textId="7482002B" w:rsidR="00B73A46" w:rsidRDefault="00B73A46" w:rsidP="00B73A46">
      <w:r>
        <w:t xml:space="preserve">Specific details of the MOVES analysis are provided in Appendix </w:t>
      </w:r>
      <w:r w:rsidRPr="002448D2">
        <w:rPr>
          <w:highlight w:val="cyan"/>
        </w:rPr>
        <w:t>XX</w:t>
      </w:r>
      <w:r>
        <w:t>. Modeling, input, and output file</w:t>
      </w:r>
      <w:r w:rsidR="00A27A81">
        <w:t xml:space="preserve">s are provided electronically. </w:t>
      </w:r>
    </w:p>
    <w:p w14:paraId="7B1B7580" w14:textId="699C34B0" w:rsidR="00C33877" w:rsidRDefault="00C33877" w:rsidP="00D1703B"/>
    <w:p w14:paraId="289E3023" w14:textId="3F85F2D3" w:rsidR="00C33877" w:rsidRDefault="00C33877" w:rsidP="007C589D">
      <w:pPr>
        <w:pStyle w:val="Heading3"/>
      </w:pPr>
      <w:r>
        <w:t xml:space="preserve">Criteria Pollutant and MSAT Construction Emissions </w:t>
      </w:r>
    </w:p>
    <w:p w14:paraId="68E9E0E0" w14:textId="77777777" w:rsidR="00B73A46" w:rsidRPr="00303D6C" w:rsidRDefault="00B73A46" w:rsidP="00B73A46">
      <w:r>
        <w:t xml:space="preserve">Emissions of criteria pollutants and MSATs during construction were evaluated qualitatively. Best management practices (BMPs) to reduce emissions are outlined is </w:t>
      </w:r>
      <w:r w:rsidRPr="002448D2">
        <w:rPr>
          <w:highlight w:val="cyan"/>
        </w:rPr>
        <w:t>Section X</w:t>
      </w:r>
      <w:r>
        <w:t xml:space="preserve"> to reduce emissions.</w:t>
      </w:r>
    </w:p>
    <w:p w14:paraId="10C15E39" w14:textId="4D721468" w:rsidR="00C33877" w:rsidRDefault="00C33877" w:rsidP="00D1703B"/>
    <w:p w14:paraId="2C85C6CE" w14:textId="7417FFD8" w:rsidR="00C33877" w:rsidRDefault="00C33877" w:rsidP="007C589D">
      <w:pPr>
        <w:pStyle w:val="Heading3"/>
      </w:pPr>
      <w:r>
        <w:t>Greenhouse Gas Emissions and Energy Construction Analysis</w:t>
      </w:r>
    </w:p>
    <w:p w14:paraId="0321C036" w14:textId="77777777" w:rsidR="00B73A46" w:rsidRPr="002448D2" w:rsidRDefault="00B73A46" w:rsidP="00B73A46">
      <w:r w:rsidRPr="00303D6C">
        <w:t>Following the WSDOT Guidance for Project-Level Greenhouse Gas Evaluations under NEPA and SEPA, WSDOT quantified GHG emissions and energy consumed during construction (WSDOT 2018) using FHWA’s Infrastructure Carbon Estimator (ICE) spreadsheet tool (FHWA 2016b).</w:t>
      </w:r>
      <w:r>
        <w:t xml:space="preserve">  </w:t>
      </w:r>
      <w:r w:rsidRPr="002448D2">
        <w:t>Construction CO and PM</w:t>
      </w:r>
      <w:r w:rsidRPr="002448D2">
        <w:rPr>
          <w:vertAlign w:val="subscript"/>
        </w:rPr>
        <w:t>10</w:t>
      </w:r>
      <w:r w:rsidRPr="002448D2">
        <w:t xml:space="preserve"> emissions are </w:t>
      </w:r>
      <w:r>
        <w:t>considered</w:t>
      </w:r>
      <w:r w:rsidRPr="002448D2">
        <w:t xml:space="preserve"> qualitatively. </w:t>
      </w:r>
    </w:p>
    <w:p w14:paraId="40D7852D" w14:textId="77777777" w:rsidR="00B73A46" w:rsidRPr="002448D2" w:rsidRDefault="00B73A46" w:rsidP="00B73A46"/>
    <w:p w14:paraId="271CD39D" w14:textId="77777777" w:rsidR="00B73A46" w:rsidRPr="002448D2" w:rsidRDefault="00B73A46" w:rsidP="00B73A46">
      <w:r w:rsidRPr="002448D2">
        <w:lastRenderedPageBreak/>
        <w:t xml:space="preserve">WSDOT uses FHWA’s Infrastructure Carbon Estimator (ICE) spreadsheet tool to calculate GHG emissions from fuel usage, traffic delays, and maintenance emissions resulting from the construction and maintenance of projects. FHWA’s ICE spreadsheet tool uses information on the project (number of lanes, miles of roadway, number of bridge spans, etc.) to estimate emissions from construction equipment, materials, and routine maintenance. The 2020 version of the tool was used. </w:t>
      </w:r>
      <w:r w:rsidRPr="00EF1F04">
        <w:rPr>
          <w:b/>
          <w:i/>
          <w:color w:val="FF0000"/>
          <w:highlight w:val="yellow"/>
        </w:rPr>
        <w:t>Use project relevant sections of ICE.</w:t>
      </w:r>
      <w:r w:rsidRPr="002448D2">
        <w:rPr>
          <w:color w:val="FF0000"/>
          <w:highlight w:val="yellow"/>
        </w:rPr>
        <w:t xml:space="preserve"> </w:t>
      </w:r>
      <w:r w:rsidRPr="002448D2">
        <w:rPr>
          <w:highlight w:val="cyan"/>
        </w:rPr>
        <w:t>The Bridges and Overpasses, Lighting, Roadways, and Pathways</w:t>
      </w:r>
      <w:r w:rsidRPr="002448D2">
        <w:t xml:space="preserve"> sections of the tool were populated with the following project-specific inputs: </w:t>
      </w:r>
    </w:p>
    <w:p w14:paraId="57BF074A" w14:textId="4FFDB1FC" w:rsidR="00C33877" w:rsidRDefault="00C33877" w:rsidP="00D1703B"/>
    <w:p w14:paraId="24D67D8F" w14:textId="77777777" w:rsidR="00B73A46" w:rsidRPr="00BE6B8C" w:rsidRDefault="00B73A46" w:rsidP="00B73A46">
      <w:pPr>
        <w:rPr>
          <w:highlight w:val="cyan"/>
        </w:rPr>
      </w:pPr>
      <w:r w:rsidRPr="00BE6B8C">
        <w:rPr>
          <w:highlight w:val="cyan"/>
        </w:rPr>
        <w:t xml:space="preserve">Project Features </w:t>
      </w:r>
    </w:p>
    <w:p w14:paraId="539B907E" w14:textId="77777777" w:rsidR="00B73A46" w:rsidRPr="00BE6B8C" w:rsidRDefault="00B73A46" w:rsidP="00B73A46">
      <w:pPr>
        <w:pStyle w:val="ListBullet"/>
        <w:rPr>
          <w:highlight w:val="cyan"/>
        </w:rPr>
      </w:pPr>
      <w:r w:rsidRPr="00BE6B8C">
        <w:rPr>
          <w:highlight w:val="cyan"/>
        </w:rPr>
        <w:t>Construct 1.7 miles of interstate</w:t>
      </w:r>
    </w:p>
    <w:p w14:paraId="12031ECC" w14:textId="77777777" w:rsidR="00B73A46" w:rsidRPr="00BE6B8C" w:rsidRDefault="00B73A46" w:rsidP="00B73A46">
      <w:pPr>
        <w:pStyle w:val="ListBullet"/>
        <w:rPr>
          <w:highlight w:val="cyan"/>
        </w:rPr>
      </w:pPr>
      <w:r w:rsidRPr="00BE6B8C">
        <w:rPr>
          <w:highlight w:val="cyan"/>
        </w:rPr>
        <w:t>Realign 7 miles of urban minor arterials or collectors</w:t>
      </w:r>
    </w:p>
    <w:p w14:paraId="1CC1369A" w14:textId="77777777" w:rsidR="00B73A46" w:rsidRPr="00BE6B8C" w:rsidRDefault="00B73A46" w:rsidP="00B73A46">
      <w:pPr>
        <w:pStyle w:val="ListBullet"/>
        <w:rPr>
          <w:highlight w:val="cyan"/>
        </w:rPr>
      </w:pPr>
      <w:r w:rsidRPr="00BE6B8C">
        <w:rPr>
          <w:highlight w:val="cyan"/>
        </w:rPr>
        <w:t>Construct approximately 40 bridge spans for four lanes of traffic</w:t>
      </w:r>
    </w:p>
    <w:p w14:paraId="3B587827" w14:textId="77777777" w:rsidR="00B73A46" w:rsidRPr="00BE6B8C" w:rsidRDefault="00B73A46" w:rsidP="00B73A46">
      <w:pPr>
        <w:pStyle w:val="ListBullet"/>
        <w:rPr>
          <w:highlight w:val="cyan"/>
        </w:rPr>
      </w:pPr>
      <w:r w:rsidRPr="00BE6B8C">
        <w:rPr>
          <w:highlight w:val="cyan"/>
        </w:rPr>
        <w:t>Construct 3 miles of new off-street bike and pedestrian paths</w:t>
      </w:r>
    </w:p>
    <w:p w14:paraId="4C065193" w14:textId="77777777" w:rsidR="00B73A46" w:rsidRPr="00BE6B8C" w:rsidRDefault="00B73A46" w:rsidP="00B73A46">
      <w:pPr>
        <w:pStyle w:val="ListBullet"/>
        <w:rPr>
          <w:highlight w:val="cyan"/>
        </w:rPr>
      </w:pPr>
      <w:r w:rsidRPr="00BE6B8C">
        <w:rPr>
          <w:highlight w:val="cyan"/>
        </w:rPr>
        <w:t>Construct 1 mile of on-street bike lane</w:t>
      </w:r>
    </w:p>
    <w:p w14:paraId="29745357" w14:textId="77777777" w:rsidR="00B73A46" w:rsidRPr="00BE6B8C" w:rsidRDefault="00B73A46" w:rsidP="00B73A46">
      <w:pPr>
        <w:pStyle w:val="ListBullet"/>
        <w:rPr>
          <w:highlight w:val="cyan"/>
        </w:rPr>
      </w:pPr>
      <w:r w:rsidRPr="00BE6B8C">
        <w:rPr>
          <w:highlight w:val="cyan"/>
        </w:rPr>
        <w:t>Install approximately 153 light fixtures</w:t>
      </w:r>
    </w:p>
    <w:p w14:paraId="6EADE966" w14:textId="77777777" w:rsidR="00B73A46" w:rsidRPr="00634941" w:rsidRDefault="00B73A46" w:rsidP="00B73A46">
      <w:r w:rsidRPr="00BE6B8C">
        <w:rPr>
          <w:highlight w:val="cyan"/>
        </w:rPr>
        <w:t>The mitigation feature of the tool was not used because specific mitigation measures have not been identified at this time. WSDOT will encourage the contractor to incorporate recycled materials as appropriate and to use newer, more efficient construction equipment.</w:t>
      </w:r>
      <w:r w:rsidRPr="00892AB9">
        <w:t xml:space="preserve"> </w:t>
      </w:r>
    </w:p>
    <w:p w14:paraId="52A1E30B" w14:textId="77777777" w:rsidR="00B73A46" w:rsidRDefault="00B73A46" w:rsidP="00D1703B"/>
    <w:p w14:paraId="4C3FA209" w14:textId="19972F26" w:rsidR="00C33877" w:rsidRDefault="00C33877" w:rsidP="00D1703B">
      <w:pPr>
        <w:pStyle w:val="Heading1"/>
      </w:pPr>
      <w:bookmarkStart w:id="17" w:name="_Toc37412117"/>
      <w:r>
        <w:t>Existing Conditions</w:t>
      </w:r>
      <w:bookmarkEnd w:id="17"/>
    </w:p>
    <w:p w14:paraId="395627C0" w14:textId="5E4EBBD7" w:rsidR="00C33877" w:rsidRDefault="00C33877" w:rsidP="00C33877">
      <w:pPr>
        <w:pStyle w:val="Heading2"/>
      </w:pPr>
      <w:bookmarkStart w:id="18" w:name="_Toc37412118"/>
      <w:r>
        <w:t>Criteria Pollutants</w:t>
      </w:r>
      <w:bookmarkEnd w:id="18"/>
    </w:p>
    <w:p w14:paraId="150A677D" w14:textId="77777777" w:rsidR="00B73A46" w:rsidRPr="00955AF4" w:rsidRDefault="00B73A46" w:rsidP="00B73A46">
      <w:pPr>
        <w:rPr>
          <w:highlight w:val="cyan"/>
        </w:rPr>
      </w:pPr>
      <w:r w:rsidRPr="00140C43">
        <w:t xml:space="preserve">Nationally and locally, average pollutant concentrations have decreased substantially over the years as a result of improved vehicle technology and measures to control road dust. Air quality in the </w:t>
      </w:r>
      <w:r w:rsidRPr="00140C43">
        <w:rPr>
          <w:highlight w:val="cyan"/>
        </w:rPr>
        <w:t>Spokane</w:t>
      </w:r>
      <w:r w:rsidRPr="00140C43">
        <w:t xml:space="preserve"> area has followed similar trends. </w:t>
      </w:r>
      <w:r w:rsidRPr="00140C43">
        <w:rPr>
          <w:highlight w:val="cyan"/>
        </w:rPr>
        <w:t>SRCAA</w:t>
      </w:r>
      <w:r w:rsidRPr="00140C43">
        <w:t xml:space="preserve"> monitors air quality in the Spokane region. </w:t>
      </w:r>
      <w:r w:rsidRPr="00140C43">
        <w:rPr>
          <w:highlight w:val="cyan"/>
        </w:rPr>
        <w:t>CO monitoring ended in Spokane in 2017 because the CO levels have been well below the NAAQS for many years.</w:t>
      </w:r>
      <w:r w:rsidRPr="00140C43">
        <w:t xml:space="preserve"> </w:t>
      </w:r>
      <w:r w:rsidRPr="00955AF4">
        <w:rPr>
          <w:highlight w:val="cyan"/>
        </w:rPr>
        <w:t>Fine particulate matter (PM</w:t>
      </w:r>
      <w:r w:rsidRPr="00955AF4">
        <w:rPr>
          <w:highlight w:val="cyan"/>
          <w:vertAlign w:val="subscript"/>
        </w:rPr>
        <w:t>2.5</w:t>
      </w:r>
      <w:r w:rsidRPr="00955AF4">
        <w:rPr>
          <w:highlight w:val="cyan"/>
        </w:rPr>
        <w:t>) is measured at several locations while PM</w:t>
      </w:r>
      <w:r w:rsidRPr="00955AF4">
        <w:rPr>
          <w:highlight w:val="cyan"/>
          <w:vertAlign w:val="subscript"/>
        </w:rPr>
        <w:t>10</w:t>
      </w:r>
      <w:r w:rsidRPr="00955AF4">
        <w:rPr>
          <w:highlight w:val="cyan"/>
        </w:rPr>
        <w:t xml:space="preserve"> is measured at one location.</w:t>
      </w:r>
      <w:r w:rsidRPr="00140C43">
        <w:t xml:space="preserve">Exhibit </w:t>
      </w:r>
      <w:r w:rsidRPr="00140C43">
        <w:rPr>
          <w:highlight w:val="cyan"/>
        </w:rPr>
        <w:t>13</w:t>
      </w:r>
      <w:r w:rsidRPr="00140C43">
        <w:t xml:space="preserve"> displays the most recent three years of monitoring data, which </w:t>
      </w:r>
      <w:r w:rsidRPr="00140C43">
        <w:rPr>
          <w:highlight w:val="cyan"/>
        </w:rPr>
        <w:t xml:space="preserve">show that the air pollutant concentrations for both pollutants remain below the NAAQS. </w:t>
      </w:r>
      <w:r w:rsidRPr="00140C43">
        <w:t xml:space="preserve">The </w:t>
      </w:r>
      <w:r w:rsidRPr="00140C43">
        <w:rPr>
          <w:highlight w:val="cyan"/>
        </w:rPr>
        <w:t>Spokane</w:t>
      </w:r>
      <w:r w:rsidRPr="00140C43">
        <w:t xml:space="preserve"> region is in attainment of the NAAQS for all criteria pollutants. </w:t>
      </w:r>
    </w:p>
    <w:p w14:paraId="4B30E68C" w14:textId="77777777" w:rsidR="00B73A46" w:rsidRDefault="00B73A46" w:rsidP="00B73A46"/>
    <w:p w14:paraId="0AC083AC" w14:textId="77777777" w:rsidR="00B73A46" w:rsidRDefault="00B73A46" w:rsidP="00B73A46">
      <w:pPr>
        <w:pStyle w:val="ExhibitTitle"/>
      </w:pPr>
      <w:r>
        <w:lastRenderedPageBreak/>
        <w:t xml:space="preserve">Exhibit XX – Ambient Air Quality Monitoring Data. </w:t>
      </w:r>
    </w:p>
    <w:tbl>
      <w:tblPr>
        <w:tblW w:w="9000" w:type="dxa"/>
        <w:tblBorders>
          <w:top w:val="single" w:sz="12" w:space="0" w:color="auto"/>
          <w:bottom w:val="single" w:sz="12" w:space="0" w:color="auto"/>
          <w:insideH w:val="single" w:sz="4" w:space="0" w:color="D9D9D9" w:themeColor="background1" w:themeShade="D9"/>
        </w:tblBorders>
        <w:tblLook w:val="04A0" w:firstRow="1" w:lastRow="0" w:firstColumn="1" w:lastColumn="0" w:noHBand="0" w:noVBand="1"/>
      </w:tblPr>
      <w:tblGrid>
        <w:gridCol w:w="1260"/>
        <w:gridCol w:w="1890"/>
        <w:gridCol w:w="1410"/>
        <w:gridCol w:w="1463"/>
        <w:gridCol w:w="1462"/>
        <w:gridCol w:w="1515"/>
      </w:tblGrid>
      <w:tr w:rsidR="00B73A46" w:rsidRPr="00566727" w14:paraId="36454A5D" w14:textId="77777777" w:rsidTr="00B73A46">
        <w:tc>
          <w:tcPr>
            <w:tcW w:w="1260" w:type="dxa"/>
            <w:tcBorders>
              <w:bottom w:val="single" w:sz="12" w:space="0" w:color="auto"/>
            </w:tcBorders>
            <w:vAlign w:val="center"/>
          </w:tcPr>
          <w:p w14:paraId="168810F7" w14:textId="77777777" w:rsidR="00B73A46" w:rsidRPr="00566727" w:rsidRDefault="00B73A46" w:rsidP="00B73A46">
            <w:pPr>
              <w:keepNext/>
              <w:spacing w:before="60" w:after="60"/>
              <w:rPr>
                <w:b/>
              </w:rPr>
            </w:pPr>
            <w:r w:rsidRPr="00566727">
              <w:rPr>
                <w:b/>
              </w:rPr>
              <w:t>Pollutant</w:t>
            </w:r>
          </w:p>
        </w:tc>
        <w:tc>
          <w:tcPr>
            <w:tcW w:w="1890" w:type="dxa"/>
            <w:tcBorders>
              <w:bottom w:val="single" w:sz="12" w:space="0" w:color="auto"/>
            </w:tcBorders>
          </w:tcPr>
          <w:p w14:paraId="7CFF7F09" w14:textId="77777777" w:rsidR="00B73A46" w:rsidRPr="00566727" w:rsidRDefault="00B73A46" w:rsidP="00B73A46">
            <w:pPr>
              <w:keepNext/>
              <w:spacing w:before="60" w:after="60"/>
              <w:rPr>
                <w:b/>
              </w:rPr>
            </w:pPr>
            <w:r w:rsidRPr="00566727">
              <w:rPr>
                <w:b/>
              </w:rPr>
              <w:t>Standard</w:t>
            </w:r>
          </w:p>
        </w:tc>
        <w:tc>
          <w:tcPr>
            <w:tcW w:w="1410" w:type="dxa"/>
            <w:tcBorders>
              <w:bottom w:val="single" w:sz="12" w:space="0" w:color="auto"/>
            </w:tcBorders>
            <w:vAlign w:val="center"/>
          </w:tcPr>
          <w:p w14:paraId="70B97C05" w14:textId="77777777" w:rsidR="00B73A46" w:rsidRPr="00566727" w:rsidRDefault="00B73A46" w:rsidP="00B73A46">
            <w:pPr>
              <w:keepNext/>
              <w:spacing w:before="60" w:after="60"/>
              <w:jc w:val="center"/>
              <w:rPr>
                <w:b/>
              </w:rPr>
            </w:pPr>
            <w:r w:rsidRPr="00566727">
              <w:rPr>
                <w:b/>
              </w:rPr>
              <w:t>2016</w:t>
            </w:r>
          </w:p>
        </w:tc>
        <w:tc>
          <w:tcPr>
            <w:tcW w:w="1463" w:type="dxa"/>
            <w:tcBorders>
              <w:bottom w:val="single" w:sz="12" w:space="0" w:color="auto"/>
            </w:tcBorders>
            <w:vAlign w:val="center"/>
          </w:tcPr>
          <w:p w14:paraId="16D7C07C" w14:textId="77777777" w:rsidR="00B73A46" w:rsidRPr="00566727" w:rsidRDefault="00B73A46" w:rsidP="00B73A46">
            <w:pPr>
              <w:keepNext/>
              <w:spacing w:before="60" w:after="60"/>
              <w:jc w:val="center"/>
              <w:rPr>
                <w:b/>
              </w:rPr>
            </w:pPr>
            <w:r w:rsidRPr="00566727">
              <w:rPr>
                <w:b/>
              </w:rPr>
              <w:t>2017</w:t>
            </w:r>
          </w:p>
        </w:tc>
        <w:tc>
          <w:tcPr>
            <w:tcW w:w="1462" w:type="dxa"/>
            <w:tcBorders>
              <w:bottom w:val="single" w:sz="12" w:space="0" w:color="auto"/>
            </w:tcBorders>
            <w:vAlign w:val="center"/>
          </w:tcPr>
          <w:p w14:paraId="6E00017A" w14:textId="77777777" w:rsidR="00B73A46" w:rsidRPr="00566727" w:rsidRDefault="00B73A46" w:rsidP="00B73A46">
            <w:pPr>
              <w:keepNext/>
              <w:spacing w:before="60" w:after="60"/>
              <w:jc w:val="center"/>
              <w:rPr>
                <w:b/>
              </w:rPr>
            </w:pPr>
            <w:r w:rsidRPr="00566727">
              <w:rPr>
                <w:b/>
              </w:rPr>
              <w:t>2018</w:t>
            </w:r>
          </w:p>
        </w:tc>
        <w:tc>
          <w:tcPr>
            <w:tcW w:w="1515" w:type="dxa"/>
            <w:tcBorders>
              <w:bottom w:val="single" w:sz="12" w:space="0" w:color="auto"/>
            </w:tcBorders>
            <w:vAlign w:val="center"/>
          </w:tcPr>
          <w:p w14:paraId="11459A83" w14:textId="77777777" w:rsidR="00B73A46" w:rsidRPr="00566727" w:rsidRDefault="00B73A46" w:rsidP="00B73A46">
            <w:pPr>
              <w:keepNext/>
              <w:spacing w:before="60" w:after="60"/>
              <w:jc w:val="center"/>
              <w:rPr>
                <w:b/>
              </w:rPr>
            </w:pPr>
            <w:r w:rsidRPr="00566727">
              <w:rPr>
                <w:b/>
              </w:rPr>
              <w:t>NAAQS</w:t>
            </w:r>
          </w:p>
        </w:tc>
      </w:tr>
      <w:tr w:rsidR="00B73A46" w:rsidRPr="00566727" w14:paraId="4508432E" w14:textId="77777777" w:rsidTr="00B73A46">
        <w:tc>
          <w:tcPr>
            <w:tcW w:w="1260" w:type="dxa"/>
            <w:tcBorders>
              <w:top w:val="single" w:sz="12" w:space="0" w:color="auto"/>
              <w:bottom w:val="single" w:sz="4" w:space="0" w:color="BFBFBF" w:themeColor="background1" w:themeShade="BF"/>
            </w:tcBorders>
          </w:tcPr>
          <w:p w14:paraId="1B42A329" w14:textId="77777777" w:rsidR="00B73A46" w:rsidRPr="00566727" w:rsidRDefault="00B73A46" w:rsidP="00B73A46">
            <w:pPr>
              <w:keepNext/>
              <w:spacing w:before="60" w:after="60"/>
              <w:rPr>
                <w:szCs w:val="24"/>
              </w:rPr>
            </w:pPr>
            <w:r w:rsidRPr="00566727">
              <w:t>CO</w:t>
            </w:r>
          </w:p>
        </w:tc>
        <w:tc>
          <w:tcPr>
            <w:tcW w:w="1890" w:type="dxa"/>
            <w:tcBorders>
              <w:top w:val="single" w:sz="12" w:space="0" w:color="auto"/>
              <w:bottom w:val="single" w:sz="4" w:space="0" w:color="BFBFBF" w:themeColor="background1" w:themeShade="BF"/>
            </w:tcBorders>
          </w:tcPr>
          <w:p w14:paraId="667A1969" w14:textId="77777777" w:rsidR="00B73A46" w:rsidRPr="00566727" w:rsidRDefault="00B73A46" w:rsidP="00B73A46">
            <w:pPr>
              <w:keepNext/>
              <w:spacing w:before="60" w:after="60"/>
            </w:pPr>
            <w:r w:rsidRPr="00566727">
              <w:t>8-hour</w:t>
            </w:r>
          </w:p>
        </w:tc>
        <w:tc>
          <w:tcPr>
            <w:tcW w:w="1410" w:type="dxa"/>
            <w:tcBorders>
              <w:top w:val="single" w:sz="12" w:space="0" w:color="auto"/>
              <w:bottom w:val="single" w:sz="4" w:space="0" w:color="BFBFBF" w:themeColor="background1" w:themeShade="BF"/>
            </w:tcBorders>
            <w:vAlign w:val="center"/>
          </w:tcPr>
          <w:p w14:paraId="752DAFDA" w14:textId="77777777" w:rsidR="00B73A46" w:rsidRPr="00566727" w:rsidRDefault="00B73A46" w:rsidP="00B73A46">
            <w:pPr>
              <w:keepNext/>
              <w:spacing w:before="60" w:after="60"/>
              <w:jc w:val="center"/>
            </w:pPr>
            <w:r w:rsidRPr="00566727">
              <w:t>1.2</w:t>
            </w:r>
          </w:p>
        </w:tc>
        <w:tc>
          <w:tcPr>
            <w:tcW w:w="1463" w:type="dxa"/>
            <w:tcBorders>
              <w:top w:val="single" w:sz="12" w:space="0" w:color="auto"/>
              <w:bottom w:val="single" w:sz="4" w:space="0" w:color="BFBFBF" w:themeColor="background1" w:themeShade="BF"/>
            </w:tcBorders>
            <w:vAlign w:val="center"/>
          </w:tcPr>
          <w:p w14:paraId="74C02ECF" w14:textId="77777777" w:rsidR="00B73A46" w:rsidRPr="00566727" w:rsidRDefault="00B73A46" w:rsidP="00B73A46">
            <w:pPr>
              <w:keepNext/>
              <w:spacing w:before="60" w:after="60"/>
              <w:jc w:val="center"/>
            </w:pPr>
            <w:r w:rsidRPr="00566727">
              <w:t>–</w:t>
            </w:r>
            <w:r>
              <w:rPr>
                <w:rStyle w:val="FootnoteReference"/>
              </w:rPr>
              <w:footnoteReference w:id="9"/>
            </w:r>
          </w:p>
        </w:tc>
        <w:tc>
          <w:tcPr>
            <w:tcW w:w="1462" w:type="dxa"/>
            <w:tcBorders>
              <w:top w:val="single" w:sz="12" w:space="0" w:color="auto"/>
              <w:bottom w:val="single" w:sz="4" w:space="0" w:color="BFBFBF" w:themeColor="background1" w:themeShade="BF"/>
            </w:tcBorders>
            <w:vAlign w:val="center"/>
          </w:tcPr>
          <w:p w14:paraId="0BD0BBB4" w14:textId="77777777" w:rsidR="00B73A46" w:rsidRPr="00566727" w:rsidRDefault="00B73A46" w:rsidP="00B73A46">
            <w:pPr>
              <w:keepNext/>
              <w:spacing w:before="60" w:after="60"/>
              <w:jc w:val="center"/>
            </w:pPr>
            <w:r w:rsidRPr="00566727">
              <w:t>–</w:t>
            </w:r>
          </w:p>
        </w:tc>
        <w:tc>
          <w:tcPr>
            <w:tcW w:w="1515" w:type="dxa"/>
            <w:tcBorders>
              <w:top w:val="single" w:sz="12" w:space="0" w:color="auto"/>
              <w:bottom w:val="single" w:sz="4" w:space="0" w:color="BFBFBF" w:themeColor="background1" w:themeShade="BF"/>
            </w:tcBorders>
            <w:vAlign w:val="center"/>
          </w:tcPr>
          <w:p w14:paraId="61BDAFA5" w14:textId="77777777" w:rsidR="00B73A46" w:rsidRPr="00566727" w:rsidRDefault="00B73A46" w:rsidP="00B73A46">
            <w:pPr>
              <w:keepNext/>
              <w:spacing w:before="60" w:after="60"/>
              <w:jc w:val="center"/>
            </w:pPr>
            <w:r w:rsidRPr="00566727">
              <w:t>9</w:t>
            </w:r>
          </w:p>
        </w:tc>
      </w:tr>
      <w:tr w:rsidR="00B73A46" w14:paraId="13C815AC" w14:textId="77777777" w:rsidTr="00B73A46">
        <w:tc>
          <w:tcPr>
            <w:tcW w:w="1260" w:type="dxa"/>
            <w:tcBorders>
              <w:top w:val="single" w:sz="4" w:space="0" w:color="BFBFBF" w:themeColor="background1" w:themeShade="BF"/>
              <w:bottom w:val="single" w:sz="4" w:space="0" w:color="BFBFBF" w:themeColor="background1" w:themeShade="BF"/>
            </w:tcBorders>
          </w:tcPr>
          <w:p w14:paraId="69060750" w14:textId="77777777" w:rsidR="00B73A46" w:rsidRPr="00566727" w:rsidRDefault="00B73A46" w:rsidP="00B73A46">
            <w:pPr>
              <w:keepNext/>
              <w:spacing w:before="60" w:after="60"/>
            </w:pPr>
            <w:r w:rsidRPr="00566727">
              <w:t>PM</w:t>
            </w:r>
            <w:r w:rsidRPr="00566727">
              <w:rPr>
                <w:vertAlign w:val="subscript"/>
              </w:rPr>
              <w:t>10</w:t>
            </w:r>
          </w:p>
        </w:tc>
        <w:tc>
          <w:tcPr>
            <w:tcW w:w="1890" w:type="dxa"/>
            <w:tcBorders>
              <w:top w:val="single" w:sz="4" w:space="0" w:color="BFBFBF" w:themeColor="background1" w:themeShade="BF"/>
              <w:bottom w:val="single" w:sz="4" w:space="0" w:color="BFBFBF" w:themeColor="background1" w:themeShade="BF"/>
            </w:tcBorders>
          </w:tcPr>
          <w:p w14:paraId="27536C78" w14:textId="77777777" w:rsidR="00B73A46" w:rsidRPr="00A27A81" w:rsidRDefault="00B73A46" w:rsidP="00B73A46">
            <w:pPr>
              <w:keepNext/>
              <w:spacing w:before="60" w:after="60"/>
              <w:rPr>
                <w:highlight w:val="cyan"/>
              </w:rPr>
            </w:pPr>
            <w:r w:rsidRPr="00A27A81">
              <w:rPr>
                <w:highlight w:val="cyan"/>
              </w:rPr>
              <w:t>Annual Max</w:t>
            </w:r>
          </w:p>
        </w:tc>
        <w:tc>
          <w:tcPr>
            <w:tcW w:w="1410" w:type="dxa"/>
            <w:tcBorders>
              <w:top w:val="single" w:sz="4" w:space="0" w:color="BFBFBF" w:themeColor="background1" w:themeShade="BF"/>
              <w:bottom w:val="single" w:sz="4" w:space="0" w:color="BFBFBF" w:themeColor="background1" w:themeShade="BF"/>
            </w:tcBorders>
            <w:vAlign w:val="center"/>
          </w:tcPr>
          <w:p w14:paraId="4674FA5B" w14:textId="77777777" w:rsidR="00B73A46" w:rsidRPr="00A27A81" w:rsidRDefault="00B73A46" w:rsidP="00B73A46">
            <w:pPr>
              <w:keepNext/>
              <w:spacing w:before="60" w:after="60"/>
              <w:jc w:val="center"/>
              <w:rPr>
                <w:highlight w:val="cyan"/>
              </w:rPr>
            </w:pPr>
            <w:r w:rsidRPr="00A27A81">
              <w:rPr>
                <w:highlight w:val="cyan"/>
              </w:rPr>
              <w:t>70 µg/m</w:t>
            </w:r>
            <w:r w:rsidRPr="00A27A81">
              <w:rPr>
                <w:highlight w:val="cyan"/>
                <w:vertAlign w:val="superscript"/>
              </w:rPr>
              <w:t>3</w:t>
            </w:r>
          </w:p>
        </w:tc>
        <w:tc>
          <w:tcPr>
            <w:tcW w:w="1463" w:type="dxa"/>
            <w:tcBorders>
              <w:top w:val="single" w:sz="4" w:space="0" w:color="BFBFBF" w:themeColor="background1" w:themeShade="BF"/>
              <w:bottom w:val="single" w:sz="4" w:space="0" w:color="BFBFBF" w:themeColor="background1" w:themeShade="BF"/>
            </w:tcBorders>
            <w:vAlign w:val="center"/>
          </w:tcPr>
          <w:p w14:paraId="10B548D5" w14:textId="77777777" w:rsidR="00B73A46" w:rsidRPr="00A27A81" w:rsidRDefault="00B73A46" w:rsidP="00B73A46">
            <w:pPr>
              <w:keepNext/>
              <w:spacing w:before="60" w:after="60"/>
              <w:jc w:val="center"/>
              <w:rPr>
                <w:highlight w:val="cyan"/>
              </w:rPr>
            </w:pPr>
            <w:r w:rsidRPr="00A27A81">
              <w:rPr>
                <w:highlight w:val="cyan"/>
              </w:rPr>
              <w:t>78 µg/m</w:t>
            </w:r>
            <w:r w:rsidRPr="00A27A81">
              <w:rPr>
                <w:highlight w:val="cyan"/>
                <w:vertAlign w:val="superscript"/>
              </w:rPr>
              <w:t>3</w:t>
            </w:r>
          </w:p>
        </w:tc>
        <w:tc>
          <w:tcPr>
            <w:tcW w:w="1462" w:type="dxa"/>
            <w:tcBorders>
              <w:top w:val="single" w:sz="4" w:space="0" w:color="BFBFBF" w:themeColor="background1" w:themeShade="BF"/>
              <w:bottom w:val="single" w:sz="4" w:space="0" w:color="BFBFBF" w:themeColor="background1" w:themeShade="BF"/>
            </w:tcBorders>
            <w:vAlign w:val="center"/>
          </w:tcPr>
          <w:p w14:paraId="15B7C9B4" w14:textId="77777777" w:rsidR="00B73A46" w:rsidRPr="00A27A81" w:rsidRDefault="00B73A46" w:rsidP="00B73A46">
            <w:pPr>
              <w:keepNext/>
              <w:spacing w:before="60" w:after="60"/>
              <w:jc w:val="center"/>
              <w:rPr>
                <w:highlight w:val="cyan"/>
              </w:rPr>
            </w:pPr>
            <w:r w:rsidRPr="00A27A81">
              <w:rPr>
                <w:highlight w:val="cyan"/>
              </w:rPr>
              <w:t>77 µg/m</w:t>
            </w:r>
            <w:r w:rsidRPr="00A27A81">
              <w:rPr>
                <w:highlight w:val="cyan"/>
                <w:vertAlign w:val="superscript"/>
              </w:rPr>
              <w:t>3</w:t>
            </w:r>
          </w:p>
        </w:tc>
        <w:tc>
          <w:tcPr>
            <w:tcW w:w="1515" w:type="dxa"/>
            <w:tcBorders>
              <w:top w:val="single" w:sz="4" w:space="0" w:color="BFBFBF" w:themeColor="background1" w:themeShade="BF"/>
              <w:bottom w:val="single" w:sz="4" w:space="0" w:color="BFBFBF" w:themeColor="background1" w:themeShade="BF"/>
            </w:tcBorders>
            <w:vAlign w:val="center"/>
          </w:tcPr>
          <w:p w14:paraId="46C1CC51" w14:textId="77777777" w:rsidR="00B73A46" w:rsidRPr="00A27A81" w:rsidRDefault="00B73A46" w:rsidP="00B73A46">
            <w:pPr>
              <w:keepNext/>
              <w:spacing w:before="60" w:after="60"/>
              <w:jc w:val="center"/>
              <w:rPr>
                <w:highlight w:val="cyan"/>
              </w:rPr>
            </w:pPr>
            <w:r w:rsidRPr="00A27A81">
              <w:rPr>
                <w:highlight w:val="cyan"/>
              </w:rPr>
              <w:t>150 µg/m</w:t>
            </w:r>
            <w:r w:rsidRPr="00A27A81">
              <w:rPr>
                <w:highlight w:val="cyan"/>
                <w:vertAlign w:val="superscript"/>
              </w:rPr>
              <w:t>3</w:t>
            </w:r>
          </w:p>
        </w:tc>
      </w:tr>
      <w:tr w:rsidR="00B73A46" w14:paraId="6FD8F49D" w14:textId="77777777" w:rsidTr="00B73A46">
        <w:tc>
          <w:tcPr>
            <w:tcW w:w="1260" w:type="dxa"/>
            <w:tcBorders>
              <w:top w:val="single" w:sz="4" w:space="0" w:color="BFBFBF" w:themeColor="background1" w:themeShade="BF"/>
              <w:bottom w:val="single" w:sz="4" w:space="0" w:color="BFBFBF" w:themeColor="background1" w:themeShade="BF"/>
            </w:tcBorders>
          </w:tcPr>
          <w:p w14:paraId="7DF41D94" w14:textId="77777777" w:rsidR="00B73A46" w:rsidRPr="00D81A7A" w:rsidRDefault="00B73A46" w:rsidP="00B73A46">
            <w:pPr>
              <w:keepNext/>
              <w:spacing w:before="60" w:after="60"/>
              <w:rPr>
                <w:highlight w:val="yellow"/>
              </w:rPr>
            </w:pPr>
            <w:r w:rsidRPr="00892AB9">
              <w:t>PM</w:t>
            </w:r>
            <w:r w:rsidRPr="00892AB9">
              <w:rPr>
                <w:vertAlign w:val="subscript"/>
              </w:rPr>
              <w:t xml:space="preserve">2.5 </w:t>
            </w:r>
          </w:p>
        </w:tc>
        <w:tc>
          <w:tcPr>
            <w:tcW w:w="1890" w:type="dxa"/>
            <w:tcBorders>
              <w:top w:val="single" w:sz="4" w:space="0" w:color="BFBFBF" w:themeColor="background1" w:themeShade="BF"/>
              <w:bottom w:val="single" w:sz="4" w:space="0" w:color="BFBFBF" w:themeColor="background1" w:themeShade="BF"/>
            </w:tcBorders>
          </w:tcPr>
          <w:p w14:paraId="191FBC84" w14:textId="77777777" w:rsidR="00B73A46" w:rsidRPr="00A27A81" w:rsidRDefault="00B73A46" w:rsidP="00B73A46">
            <w:pPr>
              <w:keepNext/>
              <w:spacing w:before="60" w:after="60"/>
              <w:rPr>
                <w:highlight w:val="cyan"/>
              </w:rPr>
            </w:pPr>
            <w:r w:rsidRPr="00A27A81">
              <w:rPr>
                <w:highlight w:val="cyan"/>
              </w:rPr>
              <w:t xml:space="preserve">24-hour </w:t>
            </w:r>
          </w:p>
          <w:p w14:paraId="718FD045" w14:textId="77777777" w:rsidR="00B73A46" w:rsidRPr="00A27A81" w:rsidRDefault="00B73A46" w:rsidP="00B73A46">
            <w:pPr>
              <w:keepNext/>
              <w:spacing w:before="60" w:after="60"/>
              <w:rPr>
                <w:sz w:val="20"/>
                <w:szCs w:val="20"/>
                <w:highlight w:val="cyan"/>
              </w:rPr>
            </w:pPr>
            <w:r w:rsidRPr="00A27A81">
              <w:rPr>
                <w:sz w:val="20"/>
                <w:szCs w:val="20"/>
                <w:highlight w:val="cyan"/>
              </w:rPr>
              <w:t>(98</w:t>
            </w:r>
            <w:r w:rsidRPr="00A27A81">
              <w:rPr>
                <w:sz w:val="20"/>
                <w:szCs w:val="20"/>
                <w:highlight w:val="cyan"/>
                <w:vertAlign w:val="superscript"/>
              </w:rPr>
              <w:t>th</w:t>
            </w:r>
            <w:r w:rsidRPr="00A27A81">
              <w:rPr>
                <w:sz w:val="20"/>
                <w:szCs w:val="20"/>
                <w:highlight w:val="cyan"/>
              </w:rPr>
              <w:t xml:space="preserve"> percentile)</w:t>
            </w:r>
          </w:p>
        </w:tc>
        <w:tc>
          <w:tcPr>
            <w:tcW w:w="1410" w:type="dxa"/>
            <w:tcBorders>
              <w:top w:val="single" w:sz="4" w:space="0" w:color="BFBFBF" w:themeColor="background1" w:themeShade="BF"/>
              <w:bottom w:val="single" w:sz="4" w:space="0" w:color="BFBFBF" w:themeColor="background1" w:themeShade="BF"/>
            </w:tcBorders>
            <w:vAlign w:val="center"/>
          </w:tcPr>
          <w:p w14:paraId="3535C960" w14:textId="77777777" w:rsidR="00B73A46" w:rsidRPr="00A27A81" w:rsidRDefault="00B73A46" w:rsidP="00B73A46">
            <w:pPr>
              <w:keepNext/>
              <w:spacing w:before="60" w:after="60"/>
              <w:jc w:val="center"/>
              <w:rPr>
                <w:highlight w:val="cyan"/>
              </w:rPr>
            </w:pPr>
            <w:r w:rsidRPr="00A27A81">
              <w:rPr>
                <w:highlight w:val="cyan"/>
              </w:rPr>
              <w:t>18 µg/m</w:t>
            </w:r>
            <w:r w:rsidRPr="00A27A81">
              <w:rPr>
                <w:highlight w:val="cyan"/>
                <w:vertAlign w:val="superscript"/>
              </w:rPr>
              <w:t>3</w:t>
            </w:r>
          </w:p>
        </w:tc>
        <w:tc>
          <w:tcPr>
            <w:tcW w:w="1463" w:type="dxa"/>
            <w:tcBorders>
              <w:top w:val="single" w:sz="4" w:space="0" w:color="BFBFBF" w:themeColor="background1" w:themeShade="BF"/>
              <w:bottom w:val="single" w:sz="4" w:space="0" w:color="BFBFBF" w:themeColor="background1" w:themeShade="BF"/>
            </w:tcBorders>
            <w:vAlign w:val="center"/>
          </w:tcPr>
          <w:p w14:paraId="6B7B2756" w14:textId="77777777" w:rsidR="00B73A46" w:rsidRPr="00A27A81" w:rsidRDefault="00B73A46" w:rsidP="00B73A46">
            <w:pPr>
              <w:keepNext/>
              <w:spacing w:before="60" w:after="60"/>
              <w:jc w:val="center"/>
              <w:rPr>
                <w:highlight w:val="cyan"/>
              </w:rPr>
            </w:pPr>
            <w:r w:rsidRPr="00A27A81">
              <w:rPr>
                <w:highlight w:val="cyan"/>
              </w:rPr>
              <w:t>36.2 µg/m</w:t>
            </w:r>
            <w:r w:rsidRPr="00A27A81">
              <w:rPr>
                <w:highlight w:val="cyan"/>
                <w:vertAlign w:val="superscript"/>
              </w:rPr>
              <w:t>3</w:t>
            </w:r>
          </w:p>
        </w:tc>
        <w:tc>
          <w:tcPr>
            <w:tcW w:w="1462" w:type="dxa"/>
            <w:tcBorders>
              <w:top w:val="single" w:sz="4" w:space="0" w:color="BFBFBF" w:themeColor="background1" w:themeShade="BF"/>
              <w:bottom w:val="single" w:sz="4" w:space="0" w:color="BFBFBF" w:themeColor="background1" w:themeShade="BF"/>
            </w:tcBorders>
            <w:vAlign w:val="center"/>
          </w:tcPr>
          <w:p w14:paraId="6EA108AC" w14:textId="77777777" w:rsidR="00B73A46" w:rsidRPr="00A27A81" w:rsidRDefault="00B73A46" w:rsidP="00B73A46">
            <w:pPr>
              <w:keepNext/>
              <w:spacing w:before="60" w:after="60"/>
              <w:jc w:val="center"/>
              <w:rPr>
                <w:highlight w:val="cyan"/>
              </w:rPr>
            </w:pPr>
            <w:r w:rsidRPr="00A27A81">
              <w:rPr>
                <w:highlight w:val="cyan"/>
              </w:rPr>
              <w:t>31 µg/m</w:t>
            </w:r>
            <w:r w:rsidRPr="00A27A81">
              <w:rPr>
                <w:highlight w:val="cyan"/>
                <w:vertAlign w:val="superscript"/>
              </w:rPr>
              <w:t>3</w:t>
            </w:r>
          </w:p>
        </w:tc>
        <w:tc>
          <w:tcPr>
            <w:tcW w:w="1515" w:type="dxa"/>
            <w:tcBorders>
              <w:top w:val="single" w:sz="4" w:space="0" w:color="BFBFBF" w:themeColor="background1" w:themeShade="BF"/>
              <w:bottom w:val="single" w:sz="4" w:space="0" w:color="BFBFBF" w:themeColor="background1" w:themeShade="BF"/>
            </w:tcBorders>
            <w:vAlign w:val="center"/>
          </w:tcPr>
          <w:p w14:paraId="32D6A732" w14:textId="77777777" w:rsidR="00B73A46" w:rsidRPr="00A27A81" w:rsidRDefault="00B73A46" w:rsidP="00B73A46">
            <w:pPr>
              <w:keepNext/>
              <w:spacing w:before="60" w:after="60"/>
              <w:jc w:val="center"/>
              <w:rPr>
                <w:highlight w:val="cyan"/>
              </w:rPr>
            </w:pPr>
            <w:r w:rsidRPr="00A27A81">
              <w:rPr>
                <w:highlight w:val="cyan"/>
              </w:rPr>
              <w:t>35 µg/m</w:t>
            </w:r>
            <w:r w:rsidRPr="00A27A81">
              <w:rPr>
                <w:highlight w:val="cyan"/>
                <w:vertAlign w:val="superscript"/>
              </w:rPr>
              <w:t>3</w:t>
            </w:r>
          </w:p>
        </w:tc>
      </w:tr>
      <w:tr w:rsidR="00B73A46" w:rsidRPr="00D4512C" w14:paraId="7722B7A2" w14:textId="77777777" w:rsidTr="00B73A46">
        <w:tc>
          <w:tcPr>
            <w:tcW w:w="1260" w:type="dxa"/>
            <w:tcBorders>
              <w:top w:val="single" w:sz="4" w:space="0" w:color="BFBFBF" w:themeColor="background1" w:themeShade="BF"/>
              <w:bottom w:val="single" w:sz="4" w:space="0" w:color="BFBFBF" w:themeColor="background1" w:themeShade="BF"/>
            </w:tcBorders>
          </w:tcPr>
          <w:p w14:paraId="712D27DD" w14:textId="77777777" w:rsidR="00B73A46" w:rsidRDefault="00B73A46" w:rsidP="00B73A46">
            <w:pPr>
              <w:keepNext/>
              <w:spacing w:before="60" w:after="60"/>
            </w:pPr>
            <w:r>
              <w:t>PM</w:t>
            </w:r>
            <w:r w:rsidRPr="00D81A7A">
              <w:rPr>
                <w:vertAlign w:val="subscript"/>
              </w:rPr>
              <w:t>2.5</w:t>
            </w:r>
            <w:r>
              <w:rPr>
                <w:rStyle w:val="FootnoteReference"/>
              </w:rPr>
              <w:footnoteReference w:id="10"/>
            </w:r>
            <w:r>
              <w:t xml:space="preserve"> </w:t>
            </w:r>
          </w:p>
        </w:tc>
        <w:tc>
          <w:tcPr>
            <w:tcW w:w="1890" w:type="dxa"/>
            <w:tcBorders>
              <w:top w:val="single" w:sz="4" w:space="0" w:color="BFBFBF" w:themeColor="background1" w:themeShade="BF"/>
              <w:bottom w:val="single" w:sz="4" w:space="0" w:color="BFBFBF" w:themeColor="background1" w:themeShade="BF"/>
            </w:tcBorders>
          </w:tcPr>
          <w:p w14:paraId="6C5F3ACD" w14:textId="77777777" w:rsidR="00B73A46" w:rsidRPr="00A27A81" w:rsidRDefault="00B73A46" w:rsidP="00B73A46">
            <w:pPr>
              <w:keepNext/>
              <w:spacing w:before="60" w:after="60"/>
              <w:rPr>
                <w:highlight w:val="cyan"/>
              </w:rPr>
            </w:pPr>
            <w:r w:rsidRPr="00A27A81">
              <w:rPr>
                <w:highlight w:val="cyan"/>
              </w:rPr>
              <w:t xml:space="preserve">Annual </w:t>
            </w:r>
            <w:r w:rsidRPr="00A27A81">
              <w:rPr>
                <w:sz w:val="20"/>
                <w:szCs w:val="20"/>
                <w:highlight w:val="cyan"/>
              </w:rPr>
              <w:t>(average)</w:t>
            </w:r>
          </w:p>
        </w:tc>
        <w:tc>
          <w:tcPr>
            <w:tcW w:w="1410" w:type="dxa"/>
            <w:tcBorders>
              <w:top w:val="single" w:sz="4" w:space="0" w:color="BFBFBF" w:themeColor="background1" w:themeShade="BF"/>
              <w:bottom w:val="single" w:sz="4" w:space="0" w:color="BFBFBF" w:themeColor="background1" w:themeShade="BF"/>
            </w:tcBorders>
            <w:vAlign w:val="center"/>
          </w:tcPr>
          <w:p w14:paraId="1C5FAB82" w14:textId="77777777" w:rsidR="00B73A46" w:rsidRPr="00A27A81" w:rsidRDefault="00B73A46" w:rsidP="00B73A46">
            <w:pPr>
              <w:keepNext/>
              <w:spacing w:before="60" w:after="60"/>
              <w:jc w:val="center"/>
              <w:rPr>
                <w:highlight w:val="cyan"/>
              </w:rPr>
            </w:pPr>
            <w:r w:rsidRPr="00A27A81">
              <w:rPr>
                <w:highlight w:val="cyan"/>
              </w:rPr>
              <w:t>8.0 µg/m</w:t>
            </w:r>
            <w:r w:rsidRPr="00A27A81">
              <w:rPr>
                <w:highlight w:val="cyan"/>
                <w:vertAlign w:val="superscript"/>
              </w:rPr>
              <w:t>3</w:t>
            </w:r>
          </w:p>
        </w:tc>
        <w:tc>
          <w:tcPr>
            <w:tcW w:w="1463" w:type="dxa"/>
            <w:tcBorders>
              <w:top w:val="single" w:sz="4" w:space="0" w:color="BFBFBF" w:themeColor="background1" w:themeShade="BF"/>
              <w:bottom w:val="single" w:sz="4" w:space="0" w:color="BFBFBF" w:themeColor="background1" w:themeShade="BF"/>
            </w:tcBorders>
            <w:vAlign w:val="center"/>
          </w:tcPr>
          <w:p w14:paraId="1D435665" w14:textId="77777777" w:rsidR="00B73A46" w:rsidRPr="00A27A81" w:rsidRDefault="00B73A46" w:rsidP="00B73A46">
            <w:pPr>
              <w:keepNext/>
              <w:spacing w:before="60" w:after="60"/>
              <w:jc w:val="center"/>
              <w:rPr>
                <w:highlight w:val="cyan"/>
              </w:rPr>
            </w:pPr>
            <w:r w:rsidRPr="00A27A81">
              <w:rPr>
                <w:highlight w:val="cyan"/>
              </w:rPr>
              <w:t>10.9 µg/m</w:t>
            </w:r>
            <w:r w:rsidRPr="00A27A81">
              <w:rPr>
                <w:highlight w:val="cyan"/>
                <w:vertAlign w:val="superscript"/>
              </w:rPr>
              <w:t>3</w:t>
            </w:r>
          </w:p>
        </w:tc>
        <w:tc>
          <w:tcPr>
            <w:tcW w:w="1462" w:type="dxa"/>
            <w:tcBorders>
              <w:top w:val="single" w:sz="4" w:space="0" w:color="BFBFBF" w:themeColor="background1" w:themeShade="BF"/>
              <w:bottom w:val="single" w:sz="4" w:space="0" w:color="BFBFBF" w:themeColor="background1" w:themeShade="BF"/>
            </w:tcBorders>
            <w:vAlign w:val="center"/>
          </w:tcPr>
          <w:p w14:paraId="3B563510" w14:textId="77777777" w:rsidR="00B73A46" w:rsidRPr="00A27A81" w:rsidRDefault="00B73A46" w:rsidP="00B73A46">
            <w:pPr>
              <w:keepNext/>
              <w:spacing w:before="60" w:after="60"/>
              <w:jc w:val="center"/>
              <w:rPr>
                <w:highlight w:val="cyan"/>
              </w:rPr>
            </w:pPr>
            <w:r w:rsidRPr="00A27A81">
              <w:rPr>
                <w:highlight w:val="cyan"/>
              </w:rPr>
              <w:t>10.3 µg/m</w:t>
            </w:r>
            <w:r w:rsidRPr="00A27A81">
              <w:rPr>
                <w:highlight w:val="cyan"/>
                <w:vertAlign w:val="superscript"/>
              </w:rPr>
              <w:t>3</w:t>
            </w:r>
          </w:p>
        </w:tc>
        <w:tc>
          <w:tcPr>
            <w:tcW w:w="1515" w:type="dxa"/>
            <w:tcBorders>
              <w:top w:val="single" w:sz="4" w:space="0" w:color="BFBFBF" w:themeColor="background1" w:themeShade="BF"/>
              <w:bottom w:val="single" w:sz="4" w:space="0" w:color="BFBFBF" w:themeColor="background1" w:themeShade="BF"/>
            </w:tcBorders>
            <w:vAlign w:val="center"/>
          </w:tcPr>
          <w:p w14:paraId="753E6E84" w14:textId="77777777" w:rsidR="00B73A46" w:rsidRPr="00A27A81" w:rsidRDefault="00B73A46" w:rsidP="00B73A46">
            <w:pPr>
              <w:keepNext/>
              <w:spacing w:before="60" w:after="60"/>
              <w:jc w:val="center"/>
              <w:rPr>
                <w:highlight w:val="cyan"/>
              </w:rPr>
            </w:pPr>
            <w:r w:rsidRPr="00A27A81">
              <w:rPr>
                <w:highlight w:val="cyan"/>
              </w:rPr>
              <w:t>12.0 µg/m</w:t>
            </w:r>
            <w:r w:rsidRPr="00A27A81">
              <w:rPr>
                <w:highlight w:val="cyan"/>
                <w:vertAlign w:val="superscript"/>
              </w:rPr>
              <w:t>3</w:t>
            </w:r>
          </w:p>
        </w:tc>
      </w:tr>
      <w:tr w:rsidR="00B73A46" w:rsidRPr="00AA4617" w14:paraId="346965DE" w14:textId="77777777" w:rsidTr="00B73A46">
        <w:tc>
          <w:tcPr>
            <w:tcW w:w="9000" w:type="dxa"/>
            <w:gridSpan w:val="6"/>
            <w:tcBorders>
              <w:top w:val="single" w:sz="4" w:space="0" w:color="auto"/>
            </w:tcBorders>
          </w:tcPr>
          <w:p w14:paraId="09EBC175" w14:textId="77777777" w:rsidR="00B73A46" w:rsidRPr="00AA4617" w:rsidRDefault="00B73A46" w:rsidP="00B73A46">
            <w:pPr>
              <w:keepNext/>
              <w:rPr>
                <w:sz w:val="20"/>
                <w:szCs w:val="20"/>
              </w:rPr>
            </w:pPr>
            <w:r w:rsidRPr="00AA4617">
              <w:rPr>
                <w:b/>
                <w:sz w:val="20"/>
                <w:szCs w:val="20"/>
              </w:rPr>
              <w:t xml:space="preserve">Notes: </w:t>
            </w:r>
            <w:r w:rsidRPr="00D93416">
              <w:rPr>
                <w:sz w:val="20"/>
                <w:szCs w:val="20"/>
                <w:highlight w:val="cyan"/>
              </w:rPr>
              <w:t>CO – monitoring has been discontinued in the Spokane area because CO concentrations have been well below the standards for many years. Data is not available for 2017 and 2018. PM10 – values shown are the annual max after days affected by wildfire were removed. PM</w:t>
            </w:r>
            <w:r w:rsidRPr="00D93416">
              <w:rPr>
                <w:sz w:val="20"/>
                <w:szCs w:val="20"/>
                <w:highlight w:val="cyan"/>
                <w:vertAlign w:val="subscript"/>
              </w:rPr>
              <w:t xml:space="preserve">2.5 </w:t>
            </w:r>
            <w:r w:rsidRPr="00D93416">
              <w:rPr>
                <w:sz w:val="20"/>
                <w:szCs w:val="20"/>
                <w:highlight w:val="cyan"/>
              </w:rPr>
              <w:t>(24-hour) – value shown is the 98</w:t>
            </w:r>
            <w:r w:rsidRPr="00D93416">
              <w:rPr>
                <w:sz w:val="20"/>
                <w:szCs w:val="20"/>
                <w:highlight w:val="cyan"/>
                <w:vertAlign w:val="superscript"/>
              </w:rPr>
              <w:t>th</w:t>
            </w:r>
            <w:r w:rsidRPr="00D93416">
              <w:rPr>
                <w:sz w:val="20"/>
                <w:szCs w:val="20"/>
                <w:highlight w:val="cyan"/>
              </w:rPr>
              <w:t xml:space="preserve"> percentile for each year. Attainment determinations are made by averaging the 98</w:t>
            </w:r>
            <w:r w:rsidRPr="00D93416">
              <w:rPr>
                <w:sz w:val="20"/>
                <w:szCs w:val="20"/>
                <w:highlight w:val="cyan"/>
                <w:vertAlign w:val="superscript"/>
              </w:rPr>
              <w:t>th</w:t>
            </w:r>
            <w:r w:rsidRPr="00D93416">
              <w:rPr>
                <w:sz w:val="20"/>
                <w:szCs w:val="20"/>
                <w:highlight w:val="cyan"/>
              </w:rPr>
              <w:t xml:space="preserve"> percentile for three years. Data is not available to calculate the 3-year average for 2016 and 2017. PM 2.5 annual average is the weighted annual average.</w:t>
            </w:r>
            <w:r>
              <w:rPr>
                <w:sz w:val="20"/>
                <w:szCs w:val="20"/>
              </w:rPr>
              <w:t xml:space="preserve"> </w:t>
            </w:r>
          </w:p>
        </w:tc>
      </w:tr>
    </w:tbl>
    <w:p w14:paraId="4A75D09C" w14:textId="77777777" w:rsidR="00B73A46" w:rsidRDefault="00B73A46" w:rsidP="00B73A46"/>
    <w:p w14:paraId="0D8903CC" w14:textId="1719D4E9" w:rsidR="00C33877" w:rsidRDefault="00C33877" w:rsidP="00D1703B"/>
    <w:p w14:paraId="55099A54" w14:textId="1F5666CE" w:rsidR="00C33877" w:rsidRDefault="00C33877" w:rsidP="00C33877">
      <w:pPr>
        <w:pStyle w:val="Heading2"/>
      </w:pPr>
      <w:bookmarkStart w:id="19" w:name="_Toc37412119"/>
      <w:r>
        <w:t>MSATs</w:t>
      </w:r>
      <w:bookmarkEnd w:id="19"/>
    </w:p>
    <w:p w14:paraId="0467BE73" w14:textId="77777777" w:rsidR="00B73A46" w:rsidRPr="00621ED6" w:rsidRDefault="00B73A46" w:rsidP="00B73A46">
      <w:r w:rsidRPr="00621ED6">
        <w:t>Controlling air toxic emissions became a national priority with the passage of the Clean Air Act Amendments (CAAA) of 1990, whereby Congress mandated that the U.S. Environmental Protection Agency (EPA) regulate 188 air toxics, also known as hazardous air pollutants. The EPA assessed this expansive list in its rule on the Control of Hazardous Air Pollutants from Mobile Sources (Federal Register, Vol. 72, No. 37, page 8430, February 26, 2007), and identified a group of 93 compounds emitted from mobile sources that are part of EPA’s </w:t>
      </w:r>
      <w:hyperlink r:id="rId15" w:history="1">
        <w:r w:rsidRPr="00621ED6">
          <w:t>Integrated Risk Information System</w:t>
        </w:r>
      </w:hyperlink>
      <w:r w:rsidRPr="00621ED6">
        <w:t> (IRIS).</w:t>
      </w:r>
      <w:r w:rsidRPr="00621ED6">
        <w:rPr>
          <w:rStyle w:val="FootnoteReference"/>
        </w:rPr>
        <w:footnoteReference w:id="11"/>
      </w:r>
      <w:r w:rsidRPr="00621ED6">
        <w:t> In addition, EPA identified nine compounds with significant contributions from mobile sources that are among the national and regional-scale cancer risk drivers or contributors and non-cancer hazard contributors from the </w:t>
      </w:r>
      <w:hyperlink r:id="rId16" w:history="1">
        <w:r w:rsidRPr="00621ED6">
          <w:t>2011 National Air Toxics</w:t>
        </w:r>
      </w:hyperlink>
      <w:r w:rsidRPr="00621ED6">
        <w:t> Assessment (NATA).</w:t>
      </w:r>
      <w:r w:rsidRPr="00621ED6">
        <w:rPr>
          <w:rStyle w:val="FootnoteReference"/>
        </w:rPr>
        <w:footnoteReference w:id="12"/>
      </w:r>
      <w:r w:rsidRPr="00621ED6">
        <w:t> These are 1,3-butadiene,acetaldehyde, acrolein, benzene, diesel particulate matter (diesel PM), ethylbenzene, formaldehyde, naphthalene, and polycyclic organic matter. While FHWA considers these the priority mobile</w:t>
      </w:r>
      <w:r w:rsidRPr="00621ED6">
        <w:rPr>
          <w:szCs w:val="24"/>
        </w:rPr>
        <w:t xml:space="preserve"> source</w:t>
      </w:r>
      <w:r w:rsidRPr="00621ED6">
        <w:t xml:space="preserve"> air toxics, the list is subject to change and may be adjusted in con</w:t>
      </w:r>
      <w:r>
        <w:t>sideration of future EPA rules.</w:t>
      </w:r>
    </w:p>
    <w:p w14:paraId="1B02030B" w14:textId="5CED0AB8" w:rsidR="00B73A46" w:rsidRDefault="00B73A46" w:rsidP="00B73A46"/>
    <w:p w14:paraId="494305D5" w14:textId="77777777" w:rsidR="00B73A46" w:rsidRDefault="00B73A46" w:rsidP="00A27A81">
      <w:pPr>
        <w:pStyle w:val="Style3Heading"/>
      </w:pPr>
      <w:r>
        <w:t>Motor Vehicle Emissions Simulator (MOVES)</w:t>
      </w:r>
    </w:p>
    <w:p w14:paraId="61E68F89" w14:textId="77777777" w:rsidR="00B73A46" w:rsidRPr="00621ED6" w:rsidRDefault="00B73A46" w:rsidP="00B73A46">
      <w:r w:rsidRPr="00621ED6">
        <w:t xml:space="preserve">According to EPA, MOVES2014 is a major revision to MOVES2010 and improves upon it in many respects. MOVES2014 includes new data, new emissions standards, and new functional improvements and features. It incorporates substantial new data for emissions, </w:t>
      </w:r>
      <w:r w:rsidRPr="00621ED6">
        <w:lastRenderedPageBreak/>
        <w:t>fleet, and activity developed since the release of MOVES2010. These new emissions data are for light- and heavy-duty vehicles, exhaust and evaporative emissions, and fuel effects. MOVES2014 also adds updated vehicle sales, population, age distribution, and VMT data. MOVES2014 incorporates the effects of three new Federal emissions standard rules not included in MOVES2010. These new standards are all expected to impact MSAT emissions and include Tier 3 emissions and fuel standards starting in 2017 (79 FR 60344), heavy-duty greenhouse gas regulations that phase in during model years 2014-2018 (79 FR 60344), and the second phase of light duty greenhouse gas regulations that phase in during model years 2017-2025 (79 FR 60344). Since the release of MOVES2014, EPA has released MOVES2014a. In the November 2015 </w:t>
      </w:r>
      <w:hyperlink r:id="rId17" w:history="1">
        <w:r w:rsidRPr="00621ED6">
          <w:t>MOVES2014a Questions and Answers Guide</w:t>
        </w:r>
      </w:hyperlink>
      <w:r w:rsidRPr="00621ED6">
        <w:t>,</w:t>
      </w:r>
      <w:r w:rsidRPr="00621ED6">
        <w:rPr>
          <w:rStyle w:val="FootnoteReference"/>
        </w:rPr>
        <w:footnoteReference w:id="13"/>
      </w:r>
      <w:r w:rsidRPr="00621ED6">
        <w:t> EPA states that for on-road emissions, MOVES2014a adds new options requested by users for the input of local VMT, includes minor updates to the default fuel tables, and corrects an error in MOVES2014 brake wear emissions. The change in brake wear emissions results in small decreases in PM emissions, while emissions for other criteria pollutants remain essentially the same as MOVES2014.</w:t>
      </w:r>
    </w:p>
    <w:p w14:paraId="651D561B" w14:textId="77777777" w:rsidR="00B73A46" w:rsidRPr="00621ED6" w:rsidRDefault="00B73A46" w:rsidP="00B73A46"/>
    <w:p w14:paraId="317D33C2" w14:textId="77777777" w:rsidR="00B73A46" w:rsidRPr="00621ED6" w:rsidRDefault="00B73A46" w:rsidP="00B73A46">
      <w:r w:rsidRPr="00621ED6">
        <w:t>Using EPA’s MOVES2014a model, as shown in Exhibit 15, FHWA estimates that even if VMT increases by 45 percent from 2010 to 2050 as forecast, a combined reduction of 91 percent in the total annual emissions for the priority MSAT is projected for the same time period. Trends for specific locations may be different, depending on locally derived information representing VMT, vehicle speeds, vehicle mix, fuels, emission control programs, meteorology, and other factors</w:t>
      </w:r>
    </w:p>
    <w:p w14:paraId="2B376D2C" w14:textId="77777777" w:rsidR="00B73A46" w:rsidRPr="00621ED6" w:rsidRDefault="00B73A46" w:rsidP="00B73A46"/>
    <w:p w14:paraId="086406B5" w14:textId="1E8CF569" w:rsidR="00B73A46" w:rsidRDefault="00B73A46" w:rsidP="00B73A46">
      <w:pPr>
        <w:rPr>
          <w:szCs w:val="24"/>
        </w:rPr>
      </w:pPr>
      <w:r w:rsidRPr="00621ED6">
        <w:t>Diesel particulate matter (DPM) is the dominant component of MSAT emissions, making up 50 to 70 percent of all priority MSAT pollutants by mass, depending on calendar year. Users of MOVES2014a will notice some differences in emissions compared with MOVES2010b. MOVES2014a is based on updated data on some emissions and pollutant processes compared to MOVES2010b, and also reflects the latest Federal emissions standards in place at the time of its release. In addition, MOVES2014a emissions forecasts are based on lower VMT projections than</w:t>
      </w:r>
      <w:r w:rsidRPr="00621ED6">
        <w:rPr>
          <w:szCs w:val="24"/>
        </w:rPr>
        <w:t xml:space="preserve"> MOVES2010b, consistent with recent trends suggesting reduced nationwide VMT growth compared to historical trends.</w:t>
      </w:r>
    </w:p>
    <w:p w14:paraId="20AF7352" w14:textId="11631073" w:rsidR="00B73A46" w:rsidRDefault="00B73A46" w:rsidP="00B73A46">
      <w:pPr>
        <w:rPr>
          <w:szCs w:val="24"/>
        </w:rPr>
      </w:pPr>
    </w:p>
    <w:p w14:paraId="6A00FD58" w14:textId="77777777" w:rsidR="00B73A46" w:rsidRPr="00621ED6" w:rsidRDefault="00B73A46" w:rsidP="00B73A46">
      <w:pPr>
        <w:pStyle w:val="ExhibitTitle"/>
      </w:pPr>
      <w:r w:rsidRPr="00621ED6">
        <w:lastRenderedPageBreak/>
        <w:t>Exhibit 15 – FHWA Projected National MSAT Emission Trends 2010 – 2050, For Vehicles Operating on Roadways Using EPA’s MOVES2014a Model</w:t>
      </w:r>
      <w:r w:rsidRPr="00621ED6">
        <w:rPr>
          <w:rStyle w:val="FootnoteReference"/>
        </w:rPr>
        <w:footnoteReference w:id="14"/>
      </w:r>
    </w:p>
    <w:p w14:paraId="430416B3" w14:textId="77777777" w:rsidR="00B73A46" w:rsidRPr="00621ED6" w:rsidRDefault="00B73A46" w:rsidP="00B73A46">
      <w:r w:rsidRPr="00621ED6">
        <w:rPr>
          <w:noProof/>
        </w:rPr>
        <mc:AlternateContent>
          <mc:Choice Requires="wps">
            <w:drawing>
              <wp:anchor distT="45720" distB="45720" distL="114300" distR="114300" simplePos="0" relativeHeight="251659264" behindDoc="0" locked="0" layoutInCell="1" allowOverlap="1" wp14:anchorId="0EE7A2ED" wp14:editId="67622607">
                <wp:simplePos x="0" y="0"/>
                <wp:positionH relativeFrom="column">
                  <wp:posOffset>4268216</wp:posOffset>
                </wp:positionH>
                <wp:positionV relativeFrom="paragraph">
                  <wp:posOffset>22098</wp:posOffset>
                </wp:positionV>
                <wp:extent cx="2076450" cy="2984500"/>
                <wp:effectExtent l="0" t="0" r="0" b="63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984500"/>
                        </a:xfrm>
                        <a:prstGeom prst="rect">
                          <a:avLst/>
                        </a:prstGeom>
                        <a:solidFill>
                          <a:srgbClr val="FFFFFF"/>
                        </a:solidFill>
                        <a:ln w="9525">
                          <a:noFill/>
                          <a:miter lim="800000"/>
                          <a:headEnd/>
                          <a:tailEnd/>
                        </a:ln>
                      </wps:spPr>
                      <wps:txbx>
                        <w:txbxContent>
                          <w:p w14:paraId="31658B0F" w14:textId="77777777" w:rsidR="00B73A46" w:rsidRDefault="00B73A46" w:rsidP="00B73A46">
                            <w:r>
                              <w:rPr>
                                <w:noProof/>
                              </w:rPr>
                              <w:drawing>
                                <wp:inline distT="0" distB="0" distL="0" distR="0" wp14:anchorId="0C98C511" wp14:editId="5BCCDF56">
                                  <wp:extent cx="1619250" cy="9170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8">
                                            <a:extLst>
                                              <a:ext uri="{28A0092B-C50C-407E-A947-70E740481C1C}">
                                                <a14:useLocalDpi xmlns:a14="http://schemas.microsoft.com/office/drawing/2010/main" val="0"/>
                                              </a:ext>
                                            </a:extLst>
                                          </a:blip>
                                          <a:srcRect t="1" b="5154"/>
                                          <a:stretch/>
                                        </pic:blipFill>
                                        <pic:spPr bwMode="auto">
                                          <a:xfrm>
                                            <a:off x="0" y="0"/>
                                            <a:ext cx="1635791" cy="92646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DA0CEFE" wp14:editId="7D31BD90">
                                  <wp:extent cx="1784350" cy="682708"/>
                                  <wp:effectExtent l="0" t="0" r="635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9">
                                            <a:extLst>
                                              <a:ext uri="{28A0092B-C50C-407E-A947-70E740481C1C}">
                                                <a14:useLocalDpi xmlns:a14="http://schemas.microsoft.com/office/drawing/2010/main" val="0"/>
                                              </a:ext>
                                            </a:extLst>
                                          </a:blip>
                                          <a:srcRect l="2642" t="13285" b="2091"/>
                                          <a:stretch/>
                                        </pic:blipFill>
                                        <pic:spPr bwMode="auto">
                                          <a:xfrm>
                                            <a:off x="0" y="0"/>
                                            <a:ext cx="1809117" cy="69218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8422E9A" wp14:editId="1E02BC5D">
                                  <wp:extent cx="1873250" cy="7695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20">
                                            <a:extLst>
                                              <a:ext uri="{28A0092B-C50C-407E-A947-70E740481C1C}">
                                                <a14:useLocalDpi xmlns:a14="http://schemas.microsoft.com/office/drawing/2010/main" val="0"/>
                                              </a:ext>
                                            </a:extLst>
                                          </a:blip>
                                          <a:srcRect l="-1762" t="6584" r="1" b="-1"/>
                                          <a:stretch/>
                                        </pic:blipFill>
                                        <pic:spPr bwMode="auto">
                                          <a:xfrm>
                                            <a:off x="0" y="0"/>
                                            <a:ext cx="1892645" cy="777476"/>
                                          </a:xfrm>
                                          <a:prstGeom prst="rect">
                                            <a:avLst/>
                                          </a:prstGeom>
                                          <a:ln>
                                            <a:noFill/>
                                          </a:ln>
                                          <a:extLst>
                                            <a:ext uri="{53640926-AAD7-44D8-BBD7-CCE9431645EC}">
                                              <a14:shadowObscured xmlns:a14="http://schemas.microsoft.com/office/drawing/2010/main"/>
                                            </a:ext>
                                          </a:extLst>
                                        </pic:spPr>
                                      </pic:pic>
                                    </a:graphicData>
                                  </a:graphic>
                                </wp:inline>
                              </w:drawing>
                            </w:r>
                          </w:p>
                          <w:p w14:paraId="1F949E36" w14:textId="77777777" w:rsidR="00B73A46" w:rsidRDefault="00B73A46" w:rsidP="00B73A46"/>
                          <w:p w14:paraId="23863657" w14:textId="77777777" w:rsidR="00B73A46" w:rsidRDefault="00B73A46" w:rsidP="00B73A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E7A2ED" id="_x0000_t202" coordsize="21600,21600" o:spt="202" path="m,l,21600r21600,l21600,xe">
                <v:stroke joinstyle="miter"/>
                <v:path gradientshapeok="t" o:connecttype="rect"/>
              </v:shapetype>
              <v:shape id="Text Box 2" o:spid="_x0000_s1026" type="#_x0000_t202" style="position:absolute;margin-left:336.1pt;margin-top:1.75pt;width:163.5pt;height:2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Z6HwIAAB0EAAAOAAAAZHJzL2Uyb0RvYy54bWysU21v2yAQ/j5p/wHxfbHjJW1ixam6dJkm&#10;dS9Sux+AMY7RgGNAYme/fgdO06j7VpUP6I47Hu6ee1jdDFqRg3BegqnodJJTIgyHRppdRX89bj8s&#10;KPGBmYYpMKKiR+Hpzfr9u1VvS1FAB6oRjiCI8WVvK9qFYMss87wTmvkJWGEw2ILTLKDrdlnjWI/o&#10;WmVFnl9lPbjGOuDCezy9G4N0nfDbVvDwo229CERVFGsLaXdpr+OerVes3DlmO8lPZbBXVKGZNPjo&#10;GeqOBUb2Tv4HpSV34KENEw46g7aVXKQesJtp/qKbh45ZkXpBcrw90+TfDpZ/P/x0RDY4u4+UGKZx&#10;Ro9iCOQTDKSI9PTWl5j1YDEvDHiMqalVb++B//bEwKZjZidunYO+E6zB8qbxZnZxdcTxEaTuv0GD&#10;z7B9gAQ0tE5H7pANgug4puN5NLEUjodFfn01m2OIY6xYLtBOw8tY+XTdOh++CNAkGhV1OPsEzw73&#10;PsRyWPmUEl/zoGSzlUolx+3qjXLkwFAn27RSBy/SlCF9RZfzYp6QDcT7SUJaBtSxkrqiizyuUVmR&#10;js+mSSmBSTXaWIkyJ34iJSM5YagHTIyk1dAckSkHo17xf6HRgftLSY9araj/s2dOUKK+GmR7OZ3N&#10;oriTM5tfF+i4y0h9GWGGI1RFAyWjuQnpQ0QeDNziVFqZ+Hqu5FQrajDRePovUeSXfsp6/tXrfwAA&#10;AP//AwBQSwMEFAAGAAgAAAAhAMalVHzcAAAACQEAAA8AAABkcnMvZG93bnJldi54bWxMj0FPg0AQ&#10;he8m/ofNmHgxdhFbEGRo1ETjtbU/YIApENldwm4L/feOJz2+eS9vvldsFzOoM0++dxbhYRWBYlu7&#10;prctwuHr/f4JlA9kGxqcZYQLe9iW11cF5Y2b7Y7P+9AqKbE+J4QuhDHX2tcdG/IrN7IV7+gmQ0Hk&#10;1OpmolnKzaDjKEq0od7Kh45Gfuu4/t6fDMLxc77bZHP1EQ7pbp28Up9W7oJ4e7O8PIMKvIS/MPzi&#10;CzqUwlS5k228GhCSNI4livC4ASV+lmWiK4R1KhddFvr/gvIHAAD//wMAUEsBAi0AFAAGAAgAAAAh&#10;ALaDOJL+AAAA4QEAABMAAAAAAAAAAAAAAAAAAAAAAFtDb250ZW50X1R5cGVzXS54bWxQSwECLQAU&#10;AAYACAAAACEAOP0h/9YAAACUAQAACwAAAAAAAAAAAAAAAAAvAQAAX3JlbHMvLnJlbHNQSwECLQAU&#10;AAYACAAAACEA/rD2eh8CAAAdBAAADgAAAAAAAAAAAAAAAAAuAgAAZHJzL2Uyb0RvYy54bWxQSwEC&#10;LQAUAAYACAAAACEAxqVUfNwAAAAJAQAADwAAAAAAAAAAAAAAAAB5BAAAZHJzL2Rvd25yZXYueG1s&#10;UEsFBgAAAAAEAAQA8wAAAIIFAAAAAA==&#10;" stroked="f">
                <v:textbox>
                  <w:txbxContent>
                    <w:p w14:paraId="31658B0F" w14:textId="77777777" w:rsidR="00B73A46" w:rsidRDefault="00B73A46" w:rsidP="00B73A46">
                      <w:r>
                        <w:rPr>
                          <w:noProof/>
                        </w:rPr>
                        <w:drawing>
                          <wp:inline distT="0" distB="0" distL="0" distR="0" wp14:anchorId="0C98C511" wp14:editId="5BCCDF56">
                            <wp:extent cx="1619250" cy="9170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1">
                                      <a:extLst>
                                        <a:ext uri="{28A0092B-C50C-407E-A947-70E740481C1C}">
                                          <a14:useLocalDpi xmlns:a14="http://schemas.microsoft.com/office/drawing/2010/main" val="0"/>
                                        </a:ext>
                                      </a:extLst>
                                    </a:blip>
                                    <a:srcRect t="1" b="5154"/>
                                    <a:stretch/>
                                  </pic:blipFill>
                                  <pic:spPr bwMode="auto">
                                    <a:xfrm>
                                      <a:off x="0" y="0"/>
                                      <a:ext cx="1635791" cy="92646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DA0CEFE" wp14:editId="7D31BD90">
                            <wp:extent cx="1784350" cy="682708"/>
                            <wp:effectExtent l="0" t="0" r="635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2">
                                      <a:extLst>
                                        <a:ext uri="{28A0092B-C50C-407E-A947-70E740481C1C}">
                                          <a14:useLocalDpi xmlns:a14="http://schemas.microsoft.com/office/drawing/2010/main" val="0"/>
                                        </a:ext>
                                      </a:extLst>
                                    </a:blip>
                                    <a:srcRect l="2642" t="13285" b="2091"/>
                                    <a:stretch/>
                                  </pic:blipFill>
                                  <pic:spPr bwMode="auto">
                                    <a:xfrm>
                                      <a:off x="0" y="0"/>
                                      <a:ext cx="1809117" cy="69218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8422E9A" wp14:editId="1E02BC5D">
                            <wp:extent cx="1873250" cy="7695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23">
                                      <a:extLst>
                                        <a:ext uri="{28A0092B-C50C-407E-A947-70E740481C1C}">
                                          <a14:useLocalDpi xmlns:a14="http://schemas.microsoft.com/office/drawing/2010/main" val="0"/>
                                        </a:ext>
                                      </a:extLst>
                                    </a:blip>
                                    <a:srcRect l="-1762" t="6584" r="1" b="-1"/>
                                    <a:stretch/>
                                  </pic:blipFill>
                                  <pic:spPr bwMode="auto">
                                    <a:xfrm>
                                      <a:off x="0" y="0"/>
                                      <a:ext cx="1892645" cy="777476"/>
                                    </a:xfrm>
                                    <a:prstGeom prst="rect">
                                      <a:avLst/>
                                    </a:prstGeom>
                                    <a:ln>
                                      <a:noFill/>
                                    </a:ln>
                                    <a:extLst>
                                      <a:ext uri="{53640926-AAD7-44D8-BBD7-CCE9431645EC}">
                                        <a14:shadowObscured xmlns:a14="http://schemas.microsoft.com/office/drawing/2010/main"/>
                                      </a:ext>
                                    </a:extLst>
                                  </pic:spPr>
                                </pic:pic>
                              </a:graphicData>
                            </a:graphic>
                          </wp:inline>
                        </w:drawing>
                      </w:r>
                    </w:p>
                    <w:p w14:paraId="1F949E36" w14:textId="77777777" w:rsidR="00B73A46" w:rsidRDefault="00B73A46" w:rsidP="00B73A46"/>
                    <w:p w14:paraId="23863657" w14:textId="77777777" w:rsidR="00B73A46" w:rsidRDefault="00B73A46" w:rsidP="00B73A46"/>
                  </w:txbxContent>
                </v:textbox>
              </v:shape>
            </w:pict>
          </mc:Fallback>
        </mc:AlternateContent>
      </w:r>
      <w:r w:rsidRPr="00621ED6">
        <w:rPr>
          <w:noProof/>
        </w:rPr>
        <mc:AlternateContent>
          <mc:Choice Requires="wps">
            <w:drawing>
              <wp:inline distT="0" distB="0" distL="0" distR="0" wp14:anchorId="3B59C2C5" wp14:editId="7D91CC70">
                <wp:extent cx="304800" cy="304800"/>
                <wp:effectExtent l="0" t="0" r="0" b="0"/>
                <wp:docPr id="9" name="Rectangle 9" descr="Click image to view source cod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3FE729" id="Rectangle 9" o:spid="_x0000_s1026" alt="Click image to view source code." href="https://www.fhwa.dot.gov/environment/air_quality/air_toxics/policy_and_guidance/msat/nmsatetrends.cf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4G+/QIAAFQGAAAOAAAAZHJzL2Uyb0RvYy54bWysVW1v0zAQ/o7Ef7D8PU3SpS+Jlk5b0yCk&#10;ARODH+A6TmPNsYPtNhuI/87Zabt2Q0IC8sHy693z3D13ubx6bAXaMW24kjmORxFGTFJVcbnJ8dcv&#10;ZTDHyFgiKyKUZDl+YgZfLd6+uey7jI1Vo0TFNAIj0mR9l+PG2i4LQ0Mb1hIzUh2TcFgr3RILS70J&#10;K016sN6KcBxF07BXuuq0oswY2C2GQ7zw9uuaUfuprg2zSOQYsFk/aj+u3RguLkm20aRrON3DIH+B&#10;oiVcgtOjqYJYgraavzLVcqqVUbUdUdWGqq45ZZ4DsImjF2zuG9IxzwWCY7pjmMz/M0s/7u404lWO&#10;U4wkaSFFnyFoRG4EQ7BVMUMhXEvB6QPiLdkwZBXacdYjo7aaMgTJZiPPvRFcPgw3h4TCwz/nc4hB&#10;oei2ZdIOSdVMEAuKMg3vDEY6cwD1+yp2+Qr7zmQet8uyn953d9pF33S3ij4YJNWyAQrs2nRABnQJ&#10;3A5bWqu+YaSCIJ6ZG2w4gwasoXX/AYjlmGyt8uwea906H4AXPXoBPR0FxB4torB5ESXzCGRG4Wg/&#10;d4BJdnjcaWPfMdUiNwFKgM4bJ7tbY4erhyvOl1QlF8JrVMizDbA57IBreOrOHAgvuR9plK7mq3kS&#10;JOPpKkiiogiuy2USTMt4NikuiuWyiH86v3GSNbyqmHRuDvKPk1dp+61q94U4CPdYAEYJXjlzDpLR&#10;m/VSaLQjUH6l/3wG4eT5WngOw8cLuLygFI+T6GacBuV0PguSMpkE6SyaB1Gc3qTTKEmTojyndMsl&#10;+3dKqIfKmIwnPksnoF9wi/z3mhvJWm6hwQne5hikAd/QcpwCV7LyqbWEi2F+EgoH/zkUkO5Dor38&#10;nUQH9a9V9QRy1QrkBMqDVgyTRunvGPXQ1nJsvm2JZhiJ9xIkn8ZJ4vqgXyST2RgW+vRkfXpCJAVT&#10;ObYYDdOlhRU82XaabxrwFPvASHUNZVJzL2FXQgOqfa1C6/JM9m3W9cbTtb/1/DNY/AI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A1uqSWBAEAAJABAAAZ&#10;AAAAZHJzL19yZWxzL2Uyb0RvYy54bWwucmVsc4TQwWrDMAwG4Ptg7xB8X9TuMMZI0ks36GGX0Z2L&#10;sJXE1JEyW22St5+7MVhhsIuRMf5+SdVmHkJxppi8cG3W5coUxFac56427/uXu0dTJEV2GISpNgsl&#10;s2lub6o3Cqj5U+r9mIqscKpNrzo+ASTb04CplJE4v7QSB9R8jR2MaI/YEdyvVg8QfxumuTKLnatN&#10;3Lm1KfbLmJP/t6VtvaWt2NNArH9EQJ+lGDwfM4qxI/1mU+55mqay7ScsnWjZyRmIzz4Kf1Ho4+Hj&#10;hMHrApdaZfY2wSjB2+WQt3PoTt4hW4IhoQJfTtJI7FJp2+En7lVcnuR5VoqMwUBTwdUem08AAAD/&#10;/wMAUEsBAi0AFAAGAAgAAAAhALaDOJL+AAAA4QEAABMAAAAAAAAAAAAAAAAAAAAAAFtDb250ZW50&#10;X1R5cGVzXS54bWxQSwECLQAUAAYACAAAACEAOP0h/9YAAACUAQAACwAAAAAAAAAAAAAAAAAvAQAA&#10;X3JlbHMvLnJlbHNQSwECLQAUAAYACAAAACEAET+Bvv0CAABUBgAADgAAAAAAAAAAAAAAAAAuAgAA&#10;ZHJzL2Uyb0RvYy54bWxQSwECLQAUAAYACAAAACEAhnOS4dYAAAADAQAADwAAAAAAAAAAAAAAAABX&#10;BQAAZHJzL2Rvd25yZXYueG1sUEsBAi0AFAAGAAgAAAAhADW6pJYEAQAAkAEAABkAAAAAAAAAAAAA&#10;AAAAWgYAAGRycy9fcmVscy9lMm9Eb2MueG1sLnJlbHNQSwUGAAAAAAUABQA6AQAAlQcAAAAA&#10;" o:button="t" filled="f" stroked="f">
                <v:fill o:detectmouseclick="t"/>
                <o:lock v:ext="edit" aspectratio="t"/>
                <w10:anchorlock/>
              </v:rect>
            </w:pict>
          </mc:Fallback>
        </mc:AlternateContent>
      </w:r>
      <w:r w:rsidRPr="00621ED6">
        <w:t> </w:t>
      </w:r>
      <w:r w:rsidRPr="00621ED6">
        <w:rPr>
          <w:noProof/>
        </w:rPr>
        <w:drawing>
          <wp:inline distT="0" distB="0" distL="0" distR="0" wp14:anchorId="5D5CF2D3" wp14:editId="51DC7885">
            <wp:extent cx="3520440" cy="4514955"/>
            <wp:effectExtent l="0" t="0" r="3810" b="0"/>
            <wp:docPr id="8" name="Picture 8" descr="Click image to view source cod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image to view source code.">
                      <a:hlinkClick r:id="rId24"/>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370" t="14585" r="2183"/>
                    <a:stretch/>
                  </pic:blipFill>
                  <pic:spPr bwMode="auto">
                    <a:xfrm>
                      <a:off x="0" y="0"/>
                      <a:ext cx="3554221" cy="4558279"/>
                    </a:xfrm>
                    <a:prstGeom prst="rect">
                      <a:avLst/>
                    </a:prstGeom>
                    <a:noFill/>
                    <a:ln>
                      <a:noFill/>
                    </a:ln>
                    <a:extLst>
                      <a:ext uri="{53640926-AAD7-44D8-BBD7-CCE9431645EC}">
                        <a14:shadowObscured xmlns:a14="http://schemas.microsoft.com/office/drawing/2010/main"/>
                      </a:ext>
                    </a:extLst>
                  </pic:spPr>
                </pic:pic>
              </a:graphicData>
            </a:graphic>
          </wp:inline>
        </w:drawing>
      </w:r>
    </w:p>
    <w:p w14:paraId="207ABBCF" w14:textId="77777777" w:rsidR="00B73A46" w:rsidRPr="00621ED6" w:rsidRDefault="00B73A46" w:rsidP="00B73A46">
      <w:pPr>
        <w:rPr>
          <w:szCs w:val="24"/>
        </w:rPr>
      </w:pPr>
    </w:p>
    <w:p w14:paraId="50B29D50" w14:textId="1AAED2D9" w:rsidR="00C33877" w:rsidRDefault="00C33877" w:rsidP="00D1703B"/>
    <w:p w14:paraId="3122A3E2" w14:textId="27E4D957" w:rsidR="00C33877" w:rsidRDefault="00C33877" w:rsidP="00D1703B"/>
    <w:p w14:paraId="11729A67" w14:textId="56390A31" w:rsidR="00C33877" w:rsidRDefault="00C33877" w:rsidP="00A27A81">
      <w:pPr>
        <w:pStyle w:val="Style3Heading"/>
      </w:pPr>
      <w:r>
        <w:t>MSAT Research</w:t>
      </w:r>
    </w:p>
    <w:p w14:paraId="681E90B6" w14:textId="77777777" w:rsidR="00B73A46" w:rsidRPr="00621ED6" w:rsidRDefault="00B73A46" w:rsidP="00B73A46">
      <w:r w:rsidRPr="00621ED6">
        <w:t>Air toxics analysis is a continuing area of research. While much work has been done to assess the overall health risk of air toxics, many questions remain unanswered. In particular, the tools and techniques for assessing project-specific health outcomes as a result of lifetime MSAT exposure remain limited. These limitations impede the ability to evaluate how potential public health risks posed by MSAT exposure should be factored into project-level decision-making within the context of NEPA.</w:t>
      </w:r>
    </w:p>
    <w:p w14:paraId="77A27B44" w14:textId="77777777" w:rsidR="00B73A46" w:rsidRPr="00621ED6" w:rsidRDefault="00B73A46" w:rsidP="00B73A46"/>
    <w:p w14:paraId="2F5FE826" w14:textId="77777777" w:rsidR="00B73A46" w:rsidRDefault="00B73A46" w:rsidP="00B73A46">
      <w:r w:rsidRPr="00621ED6">
        <w:t xml:space="preserve">Nonetheless, air toxics concerns continue to arise on highway projects during the NEPA process. Even as the science emerges, the public and other agencies expect FHWA to address MSAT impacts in its environmental documents. The FHWA, EPA, the Health Effects Institute, and others have funded and conducted research studies to try to more clearly </w:t>
      </w:r>
      <w:r w:rsidRPr="00621ED6">
        <w:lastRenderedPageBreak/>
        <w:t>define potential risks from MSAT emissions associated with highway projects. The FHWA will continue to monitor the developing research in this field.</w:t>
      </w:r>
    </w:p>
    <w:p w14:paraId="6548CC38" w14:textId="13D523A6" w:rsidR="00C33877" w:rsidRDefault="00C33877" w:rsidP="00D1703B"/>
    <w:p w14:paraId="72C547DB" w14:textId="52AAD495" w:rsidR="00C33877" w:rsidRDefault="00C33877" w:rsidP="00C33877">
      <w:pPr>
        <w:pStyle w:val="Heading2"/>
      </w:pPr>
      <w:bookmarkStart w:id="20" w:name="_Toc37412120"/>
      <w:r>
        <w:t>Greenhouse Gases</w:t>
      </w:r>
      <w:bookmarkEnd w:id="20"/>
    </w:p>
    <w:p w14:paraId="6542F676" w14:textId="77777777" w:rsidR="00B73A46" w:rsidRPr="00EC20AC" w:rsidRDefault="00B73A46" w:rsidP="00B73A46">
      <w:r w:rsidRPr="00EC20AC">
        <w:t>Vehicles emit a variety of gases during their operation; some of these are greenhouse gases (GHGs). The GHGs associated with transportation are carbon dioxide (CO</w:t>
      </w:r>
      <w:r w:rsidRPr="00EC20AC">
        <w:rPr>
          <w:vertAlign w:val="subscript"/>
        </w:rPr>
        <w:t>2</w:t>
      </w:r>
      <w:r w:rsidRPr="00EC20AC">
        <w:t>), methane, and nitrous oxide. Any process that burns fossil fuel releases CO</w:t>
      </w:r>
      <w:r w:rsidRPr="00EC20AC">
        <w:rPr>
          <w:vertAlign w:val="subscript"/>
        </w:rPr>
        <w:t>2</w:t>
      </w:r>
      <w:r w:rsidRPr="00EC20AC">
        <w:t xml:space="preserve"> into the air. Carbon dioxide makes up the bulk of the emissions from transportation. </w:t>
      </w:r>
    </w:p>
    <w:p w14:paraId="54F5F5D7" w14:textId="77777777" w:rsidR="00B73A46" w:rsidRPr="00EC20AC" w:rsidRDefault="00B73A46" w:rsidP="00B73A46"/>
    <w:p w14:paraId="7AE5254C" w14:textId="77777777" w:rsidR="00B73A46" w:rsidRPr="00EC20AC" w:rsidRDefault="00B73A46" w:rsidP="00B73A46">
      <w:r w:rsidRPr="00EC20AC">
        <w:t xml:space="preserve">Vehicles are a significant source of GHG emissions and contribute to climate change primarily through the burning of gasoline and diesel fuels. National estimates show that the transportation sector (including on-road vehicles, construction activities, airplanes, and boats) accounts for about </w:t>
      </w:r>
      <w:r w:rsidRPr="00140C43">
        <w:rPr>
          <w:highlight w:val="cyan"/>
        </w:rPr>
        <w:t>29 percent</w:t>
      </w:r>
      <w:r w:rsidRPr="00EC20AC">
        <w:t xml:space="preserve"> of total domestic CO</w:t>
      </w:r>
      <w:r w:rsidRPr="00EC20AC">
        <w:rPr>
          <w:vertAlign w:val="subscript"/>
        </w:rPr>
        <w:t>2</w:t>
      </w:r>
      <w:r w:rsidRPr="00EC20AC">
        <w:t xml:space="preserve"> emissions. However, in Washington State, transportation accounts for nearly half of GHG emissions because the state relies heavily on hydropower for electricity generation, unlike other states that rely on fossil fuels such as coal, petroleum, and natural gas to generate electricity. The next largest contributors to total GHG emissions in Washington are fossil fuel combustion in the residential, commercial, and industrial sectors at </w:t>
      </w:r>
      <w:r w:rsidRPr="00140C43">
        <w:rPr>
          <w:highlight w:val="cyan"/>
        </w:rPr>
        <w:t>27 percent</w:t>
      </w:r>
      <w:r w:rsidRPr="00EC20AC">
        <w:t xml:space="preserve"> and electricity consumption at </w:t>
      </w:r>
      <w:r w:rsidRPr="00140C43">
        <w:rPr>
          <w:highlight w:val="cyan"/>
        </w:rPr>
        <w:t>19 percent</w:t>
      </w:r>
      <w:r w:rsidRPr="00EC20AC">
        <w:t xml:space="preserve">. </w:t>
      </w:r>
      <w:r w:rsidRPr="00140C43">
        <w:rPr>
          <w:highlight w:val="cyan"/>
        </w:rPr>
        <w:t>Exhibit 16</w:t>
      </w:r>
      <w:r w:rsidRPr="00EC20AC">
        <w:t xml:space="preserve"> shows the gross GHG emissions by sector, for Washington State and nationally. </w:t>
      </w:r>
      <w:r w:rsidRPr="00EF1F04">
        <w:rPr>
          <w:b/>
          <w:i/>
          <w:color w:val="FF0000"/>
          <w:highlight w:val="yellow"/>
        </w:rPr>
        <w:t>Check WSDOT’s Guidance for updated graphs. Contact WSDOT HQ AQ specialist for Excel version.</w:t>
      </w:r>
      <w:r w:rsidRPr="00140C43">
        <w:rPr>
          <w:color w:val="FF0000"/>
        </w:rPr>
        <w:t xml:space="preserve"> </w:t>
      </w:r>
    </w:p>
    <w:p w14:paraId="43D4DFE7" w14:textId="77777777" w:rsidR="00B73A46" w:rsidRPr="00EC20AC" w:rsidRDefault="00B73A46" w:rsidP="00B73A46"/>
    <w:p w14:paraId="589E6E2B" w14:textId="77777777" w:rsidR="00B73A46" w:rsidRPr="00EC20AC" w:rsidRDefault="00B73A46" w:rsidP="00B73A46">
      <w:pPr>
        <w:pStyle w:val="ExhibitTitle"/>
      </w:pPr>
      <w:r w:rsidRPr="00EC20AC">
        <w:t>Exhibit 16 – State and National GHG Emissions by Sector</w:t>
      </w:r>
    </w:p>
    <w:p w14:paraId="50F54BE0" w14:textId="77777777" w:rsidR="00B73A46" w:rsidRPr="00EC20AC" w:rsidRDefault="00B73A46" w:rsidP="00B73A46">
      <w:pPr>
        <w:rPr>
          <w:rFonts w:eastAsia="Calibri"/>
          <w:b/>
        </w:rPr>
      </w:pPr>
      <w:r w:rsidRPr="00EC20AC">
        <w:rPr>
          <w:noProof/>
        </w:rPr>
        <w:drawing>
          <wp:inline distT="0" distB="0" distL="0" distR="0" wp14:anchorId="7CFE8F52" wp14:editId="4CCD3F17">
            <wp:extent cx="2926080" cy="2743200"/>
            <wp:effectExtent l="0" t="0" r="762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EC20AC">
        <w:rPr>
          <w:noProof/>
        </w:rPr>
        <w:drawing>
          <wp:inline distT="0" distB="0" distL="0" distR="0" wp14:anchorId="78FA2A65" wp14:editId="30396B1D">
            <wp:extent cx="2926080" cy="2743200"/>
            <wp:effectExtent l="0" t="0" r="762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D6CAB8F" w14:textId="77777777" w:rsidR="00B73A46" w:rsidRPr="00EC20AC" w:rsidRDefault="00B73A46" w:rsidP="00B73A46"/>
    <w:p w14:paraId="7EAA31AB" w14:textId="0E13384A" w:rsidR="00C33877" w:rsidRDefault="00C33877" w:rsidP="00D1703B"/>
    <w:p w14:paraId="12632D27" w14:textId="793CE3B2" w:rsidR="00C33877" w:rsidRDefault="00C33877" w:rsidP="00C33877">
      <w:pPr>
        <w:pStyle w:val="Heading2"/>
      </w:pPr>
      <w:bookmarkStart w:id="21" w:name="_Toc37412121"/>
      <w:r>
        <w:lastRenderedPageBreak/>
        <w:t>Energy Use</w:t>
      </w:r>
      <w:bookmarkEnd w:id="21"/>
    </w:p>
    <w:p w14:paraId="337A442A" w14:textId="77777777" w:rsidR="00B73A46" w:rsidRPr="00EC20AC" w:rsidRDefault="00B73A46" w:rsidP="00B73A46">
      <w:r w:rsidRPr="00EC20AC">
        <w:t>Transportation energy is the energy required to move people and goods from place to place.</w:t>
      </w:r>
      <w:r>
        <w:t xml:space="preserve"> </w:t>
      </w:r>
      <w:r w:rsidRPr="00EC20AC">
        <w:t xml:space="preserve">For transportation projects, energy usage is predominantly influenced by the amount of fuel used. Transportation accounts for a major portion of the energy consumed in the United States. As shown in </w:t>
      </w:r>
      <w:r w:rsidRPr="00EC20AC">
        <w:fldChar w:fldCharType="begin"/>
      </w:r>
      <w:r w:rsidRPr="00EC20AC">
        <w:instrText xml:space="preserve"> REF _Ref14765717 \h  \* MERGEFORMAT </w:instrText>
      </w:r>
      <w:r w:rsidRPr="00EC20AC">
        <w:fldChar w:fldCharType="separate"/>
      </w:r>
      <w:r w:rsidRPr="00EC20AC">
        <w:t xml:space="preserve">Exhibit </w:t>
      </w:r>
      <w:r w:rsidRPr="00140C43">
        <w:rPr>
          <w:highlight w:val="cyan"/>
        </w:rPr>
        <w:t>4</w:t>
      </w:r>
      <w:r w:rsidRPr="00140C43">
        <w:rPr>
          <w:highlight w:val="cyan"/>
        </w:rPr>
        <w:noBreakHyphen/>
        <w:t>3</w:t>
      </w:r>
      <w:r w:rsidRPr="00EC20AC">
        <w:fldChar w:fldCharType="end"/>
      </w:r>
      <w:r w:rsidRPr="00EC20AC">
        <w:t xml:space="preserve">, transportation was the </w:t>
      </w:r>
      <w:r w:rsidRPr="00140C43">
        <w:rPr>
          <w:highlight w:val="cyan"/>
        </w:rPr>
        <w:t>second largest</w:t>
      </w:r>
      <w:r w:rsidRPr="00EC20AC">
        <w:t xml:space="preserve"> source of energy consumption in the United States and the </w:t>
      </w:r>
      <w:r w:rsidRPr="00140C43">
        <w:rPr>
          <w:highlight w:val="cyan"/>
        </w:rPr>
        <w:t>largest</w:t>
      </w:r>
      <w:r w:rsidRPr="00EC20AC">
        <w:t xml:space="preserve"> source of energy consumption in Washington State in 2017. </w:t>
      </w:r>
    </w:p>
    <w:p w14:paraId="7495D426" w14:textId="77777777" w:rsidR="00B73A46" w:rsidRPr="00EC20AC" w:rsidRDefault="00B73A46" w:rsidP="00B73A46"/>
    <w:p w14:paraId="32F8AE4A" w14:textId="77777777" w:rsidR="00B73A46" w:rsidRPr="00EC20AC" w:rsidRDefault="00B73A46" w:rsidP="00B73A46">
      <w:r w:rsidRPr="00EC20AC">
        <w:t xml:space="preserve">Transportation energy is generally discussed in terms of operational and construction energy consumption. Operational energy consumption is all energy consumed by vehicle propulsion. This energy is a function of traffic characteristics such as volume, speed, distance traveled, vehicle mix, and the thermal value of the fuel being used. Operational energy consumption also includes the energy required to maintain the transportation facilities. Construction energy consumption involves the non-recoverable, one-time energy expenditure involved in the construction of the physical infrastructure associated with the project. </w:t>
      </w:r>
    </w:p>
    <w:p w14:paraId="094329B9" w14:textId="77777777" w:rsidR="00B73A46" w:rsidRPr="00EC20AC" w:rsidRDefault="00B73A46" w:rsidP="00B73A46"/>
    <w:p w14:paraId="70A453B4" w14:textId="77777777" w:rsidR="00B73A46" w:rsidRPr="00EC20AC" w:rsidRDefault="00B73A46" w:rsidP="00B73A46">
      <w:r w:rsidRPr="00EC20AC">
        <w:t>Fossil fuels (e.g., gasoline, diesel fuel, and jet fuel) are the predominant source of energy for transportation in Washington State.</w:t>
      </w:r>
    </w:p>
    <w:p w14:paraId="6B2C14C1" w14:textId="77777777" w:rsidR="00B73A46" w:rsidRDefault="00B73A46" w:rsidP="00B73A46"/>
    <w:p w14:paraId="15250D67" w14:textId="77777777" w:rsidR="00B73A46" w:rsidRPr="0083288A" w:rsidRDefault="00B73A46" w:rsidP="00B73A46">
      <w:pPr>
        <w:pStyle w:val="ExhibitTitle"/>
      </w:pPr>
      <w:bookmarkStart w:id="22" w:name="_Ref512491825"/>
      <w:r w:rsidRPr="00A671A8">
        <w:t>Exhibit </w:t>
      </w:r>
      <w:bookmarkEnd w:id="22"/>
      <w:r w:rsidRPr="00A671A8">
        <w:t>1</w:t>
      </w:r>
      <w:r>
        <w:t>7 –</w:t>
      </w:r>
      <w:r w:rsidRPr="00A671A8">
        <w:t xml:space="preserve"> Washington</w:t>
      </w:r>
      <w:r w:rsidRPr="0083288A">
        <w:t xml:space="preserve"> Energy Consumption by End-Use Sector</w:t>
      </w:r>
      <w:r w:rsidRPr="00140C43">
        <w:rPr>
          <w:highlight w:val="cyan"/>
        </w:rPr>
        <w:t>, 2017</w:t>
      </w:r>
      <w:r w:rsidRPr="00140C43">
        <w:rPr>
          <w:rStyle w:val="FootnoteReference"/>
          <w:highlight w:val="cyan"/>
        </w:rPr>
        <w:footnoteReference w:id="15"/>
      </w:r>
    </w:p>
    <w:p w14:paraId="497FE170" w14:textId="77777777" w:rsidR="00B73A46" w:rsidRPr="006858BD" w:rsidRDefault="00B73A46" w:rsidP="00B73A46">
      <w:pPr>
        <w:rPr>
          <w:noProof/>
          <w:highlight w:val="green"/>
        </w:rPr>
      </w:pPr>
      <w:r>
        <w:rPr>
          <w:noProof/>
        </w:rPr>
        <w:drawing>
          <wp:inline distT="0" distB="0" distL="0" distR="0" wp14:anchorId="59C5E095" wp14:editId="17459E15">
            <wp:extent cx="4616245" cy="2521974"/>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9F8684B" w14:textId="77777777" w:rsidR="00B73A46" w:rsidRPr="001E074F" w:rsidRDefault="00B73A46" w:rsidP="00B73A46"/>
    <w:p w14:paraId="7FB45B65" w14:textId="23575D82" w:rsidR="00C33877" w:rsidRDefault="00C33877" w:rsidP="00C33877">
      <w:pPr>
        <w:pStyle w:val="Heading2"/>
      </w:pPr>
      <w:bookmarkStart w:id="23" w:name="_Toc37412122"/>
      <w:r>
        <w:t>Efforts to Reduce Energy Use and Greenhouse Gas Emissions</w:t>
      </w:r>
      <w:bookmarkEnd w:id="23"/>
    </w:p>
    <w:p w14:paraId="2C1EF20F" w14:textId="77777777" w:rsidR="00B73A46" w:rsidRDefault="00B73A46" w:rsidP="00B73A46">
      <w:r w:rsidRPr="00140C43">
        <w:rPr>
          <w:highlight w:val="cyan"/>
        </w:rPr>
        <w:t xml:space="preserve">Throughout the agency, WSDOT is working to reduce transportation sector greenhouse gas emissions. Our Active Transportation and Public Transportation Divisions are working to </w:t>
      </w:r>
      <w:r w:rsidRPr="00140C43">
        <w:rPr>
          <w:highlight w:val="cyan"/>
        </w:rPr>
        <w:lastRenderedPageBreak/>
        <w:t>expand alternatives to driving alone and support transit options with lower emissions. Our planners work closely with local and regional planning entities to ensure our plans work with their plans and provide access and mobility options to everyone. Through Innovative Partnerships, we are supporting the expansion of electric vehicle charging infrastructure with grants and coordination.</w:t>
      </w:r>
      <w:r>
        <w:t xml:space="preserve"> </w:t>
      </w:r>
      <w:r w:rsidRPr="00EF1F04">
        <w:rPr>
          <w:b/>
          <w:i/>
          <w:color w:val="FF0000"/>
          <w:highlight w:val="yellow"/>
        </w:rPr>
        <w:t>Check with WSDOT HQ AQ staff for updated information.</w:t>
      </w:r>
      <w:r w:rsidRPr="00140C43">
        <w:rPr>
          <w:color w:val="FF0000"/>
        </w:rPr>
        <w:t xml:space="preserve"> </w:t>
      </w:r>
    </w:p>
    <w:p w14:paraId="30B6ACD6" w14:textId="4B34C57F" w:rsidR="00C33877" w:rsidRDefault="00C33877" w:rsidP="00D1703B"/>
    <w:p w14:paraId="42897AFE" w14:textId="376752D7" w:rsidR="00C33877" w:rsidRDefault="00C33877" w:rsidP="00C33877">
      <w:pPr>
        <w:pStyle w:val="Heading1"/>
      </w:pPr>
      <w:bookmarkStart w:id="24" w:name="_Toc37412123"/>
      <w:r>
        <w:t>Project Effects</w:t>
      </w:r>
      <w:bookmarkEnd w:id="24"/>
    </w:p>
    <w:p w14:paraId="5BE5E707" w14:textId="77777777" w:rsidR="00B73A46" w:rsidRDefault="00B73A46" w:rsidP="00B73A46">
      <w:r w:rsidRPr="00140C43">
        <w:t>Transportation projects have environmental effects throughout their lifecycle. This analysis addresses operational effects, i.e., the effects of the vehicles using the facility, construction effects, and maintenance effects.</w:t>
      </w:r>
      <w:r>
        <w:t xml:space="preserve"> </w:t>
      </w:r>
    </w:p>
    <w:p w14:paraId="11E1E34A" w14:textId="04F6BFB9" w:rsidR="00C33877" w:rsidRDefault="00C33877" w:rsidP="00D1703B"/>
    <w:p w14:paraId="5DEE4934" w14:textId="77777777" w:rsidR="00B73A46" w:rsidRDefault="00B73A46" w:rsidP="00B73A46">
      <w:pPr>
        <w:pStyle w:val="Heading2"/>
      </w:pPr>
      <w:bookmarkStart w:id="25" w:name="_Toc37317501"/>
      <w:bookmarkStart w:id="26" w:name="_Toc37408087"/>
      <w:bookmarkStart w:id="27" w:name="_Toc37412125"/>
      <w:r w:rsidRPr="00B9650A">
        <w:t>Operational</w:t>
      </w:r>
      <w:r>
        <w:t xml:space="preserve"> Effects</w:t>
      </w:r>
      <w:bookmarkEnd w:id="25"/>
      <w:bookmarkEnd w:id="26"/>
      <w:bookmarkEnd w:id="27"/>
    </w:p>
    <w:p w14:paraId="25BD53F1" w14:textId="77777777" w:rsidR="00B73A46" w:rsidRPr="00140C43" w:rsidRDefault="00B73A46" w:rsidP="00B73A46">
      <w:r w:rsidRPr="00140C43">
        <w:t xml:space="preserve">The NSC project will have </w:t>
      </w:r>
      <w:r w:rsidRPr="00140C43">
        <w:rPr>
          <w:highlight w:val="cyan"/>
        </w:rPr>
        <w:t>no adverse</w:t>
      </w:r>
      <w:r w:rsidRPr="00140C43">
        <w:t xml:space="preserve"> operational air quality effects: </w:t>
      </w:r>
    </w:p>
    <w:p w14:paraId="6B4A165F" w14:textId="77777777" w:rsidR="00B73A46" w:rsidRPr="00366BDC" w:rsidRDefault="00B73A46" w:rsidP="00B73A46">
      <w:pPr>
        <w:pStyle w:val="ListBullet"/>
        <w:rPr>
          <w:highlight w:val="cyan"/>
        </w:rPr>
      </w:pPr>
      <w:r w:rsidRPr="00366BDC">
        <w:rPr>
          <w:highlight w:val="cyan"/>
        </w:rPr>
        <w:t>The CO hotspot analysis shows that the project will not cause or contribute to an exceedance of the NAAQS. The project meets all CO conformity requirements.</w:t>
      </w:r>
    </w:p>
    <w:p w14:paraId="144921D7" w14:textId="77777777" w:rsidR="00B73A46" w:rsidRPr="00366BDC" w:rsidRDefault="00B73A46" w:rsidP="00B73A46">
      <w:pPr>
        <w:pStyle w:val="ListBullet"/>
        <w:rPr>
          <w:highlight w:val="cyan"/>
        </w:rPr>
      </w:pPr>
      <w:r w:rsidRPr="00366BDC">
        <w:rPr>
          <w:highlight w:val="cyan"/>
        </w:rPr>
        <w:t>The PM</w:t>
      </w:r>
      <w:r w:rsidRPr="00366BDC">
        <w:rPr>
          <w:highlight w:val="cyan"/>
          <w:vertAlign w:val="subscript"/>
        </w:rPr>
        <w:t>10</w:t>
      </w:r>
      <w:r w:rsidRPr="00366BDC">
        <w:rPr>
          <w:highlight w:val="cyan"/>
        </w:rPr>
        <w:t xml:space="preserve"> hotspot analysis shows that the project will not cause or contribute to an exceedance of the NAAQS. The project meets all PM</w:t>
      </w:r>
      <w:r w:rsidRPr="00366BDC">
        <w:rPr>
          <w:highlight w:val="cyan"/>
          <w:vertAlign w:val="subscript"/>
        </w:rPr>
        <w:t>10</w:t>
      </w:r>
      <w:r w:rsidRPr="00366BDC">
        <w:rPr>
          <w:highlight w:val="cyan"/>
        </w:rPr>
        <w:t xml:space="preserve"> conformity requirements.</w:t>
      </w:r>
    </w:p>
    <w:p w14:paraId="54A3FB2A" w14:textId="77777777" w:rsidR="00B73A46" w:rsidRPr="00366BDC" w:rsidRDefault="00B73A46" w:rsidP="00B73A46">
      <w:pPr>
        <w:pStyle w:val="ListBullet"/>
        <w:rPr>
          <w:highlight w:val="cyan"/>
        </w:rPr>
      </w:pPr>
      <w:r w:rsidRPr="00366BDC">
        <w:rPr>
          <w:highlight w:val="cyan"/>
        </w:rPr>
        <w:t xml:space="preserve">The project followed FHWA guidance for MSAT analysis. MSATs decrease dramatically between 2010 and 2040, by 89 percent or more, depending on pollutant, due to improvements in vehicle technology. MSAT emissions from the build alternative are estimated to be about 14-19 percent less than the no build alternative, depending on the pollutant, because of lower VMT in the study area with the North Spokane Corridor project and smoother driving conditions. </w:t>
      </w:r>
    </w:p>
    <w:p w14:paraId="31E74DBB" w14:textId="77777777" w:rsidR="00B73A46" w:rsidRPr="00366BDC" w:rsidRDefault="00B73A46" w:rsidP="00B73A46">
      <w:pPr>
        <w:pStyle w:val="ListBullet"/>
        <w:rPr>
          <w:highlight w:val="cyan"/>
        </w:rPr>
      </w:pPr>
      <w:r w:rsidRPr="00366BDC">
        <w:rPr>
          <w:highlight w:val="cyan"/>
        </w:rPr>
        <w:t xml:space="preserve">Greenhouse gas emissions are similar under the existing conditions and the no build alternative; vehicle efficiency improvements under the 2040 no build alternatives are offset by a 55 percent increase in VMT as compared to the existing conditions VMT in the study area. GHG emissions under the 2040 build alternative are about 15 percent less than the 2040 no build and existing alternatives because the 2040 no build alternative has a lower VMT in the study area as compared to the no build alternative and smoother driving conditions with the North Spokane Corridor project. </w:t>
      </w:r>
    </w:p>
    <w:p w14:paraId="119DBFC0" w14:textId="77777777" w:rsidR="00B73A46" w:rsidRPr="00366BDC" w:rsidRDefault="00B73A46" w:rsidP="00B73A46">
      <w:pPr>
        <w:pStyle w:val="ListBullet"/>
        <w:rPr>
          <w:highlight w:val="cyan"/>
        </w:rPr>
      </w:pPr>
      <w:r w:rsidRPr="00366BDC">
        <w:rPr>
          <w:highlight w:val="cyan"/>
        </w:rPr>
        <w:t xml:space="preserve">Energy use is similar under the existing conditions and the 2040 no build alternative; vehicle efficiency improvements under the 2040 no build alternative are offset a 55 percent increase in VMT as compared to the existing conditions VMT in the study area. Energy use under the 2040 build alternative is about 15 percent less than the 2040 no build and existing alternatives because the 2040 no build alternative has a lower VMT as compared to the no build alternative in the study area and smoother driving conditions with the North Spokane Corridor project. </w:t>
      </w:r>
    </w:p>
    <w:p w14:paraId="4ABBF17A" w14:textId="5BC54E9F" w:rsidR="00C33877" w:rsidRDefault="00C33877" w:rsidP="00D1703B"/>
    <w:p w14:paraId="3B6621DF" w14:textId="777EB589" w:rsidR="00C33877" w:rsidRDefault="00C33877" w:rsidP="007C589D">
      <w:pPr>
        <w:pStyle w:val="Heading3"/>
      </w:pPr>
      <w:r>
        <w:t>Criteria Pollutants &amp; Conformity</w:t>
      </w:r>
    </w:p>
    <w:p w14:paraId="2C1899B1" w14:textId="77777777" w:rsidR="00B73A46" w:rsidRDefault="00B73A46" w:rsidP="00B73A46">
      <w:r w:rsidRPr="00804458">
        <w:t xml:space="preserve">A screening level CO analysis was conducted for the project to demonstrate conformity. The analysis screened the </w:t>
      </w:r>
      <w:r w:rsidRPr="004562B8">
        <w:rPr>
          <w:highlight w:val="cyan"/>
        </w:rPr>
        <w:t>8</w:t>
      </w:r>
      <w:r w:rsidRPr="00804458">
        <w:t xml:space="preserve"> intersections that are predicted to have a level of service (LOS) of D or worse under the build </w:t>
      </w:r>
      <w:r>
        <w:t>alternatives</w:t>
      </w:r>
      <w:r w:rsidRPr="00804458">
        <w:t>. Intersections were analyzed for existing (</w:t>
      </w:r>
      <w:r w:rsidRPr="004562B8">
        <w:rPr>
          <w:highlight w:val="cyan"/>
        </w:rPr>
        <w:t>2015</w:t>
      </w:r>
      <w:r w:rsidRPr="00804458">
        <w:t>) and build (</w:t>
      </w:r>
      <w:r w:rsidRPr="004562B8">
        <w:rPr>
          <w:highlight w:val="cyan"/>
        </w:rPr>
        <w:t>2040</w:t>
      </w:r>
      <w:r w:rsidRPr="00804458">
        <w:t xml:space="preserve">) conditions to evaluate if the worst case peak hour traffic volumes would exceed the NAAQS. </w:t>
      </w:r>
      <w:r w:rsidRPr="00293909">
        <w:t xml:space="preserve">Per standard guidance, receivers were placed 10 feet from each leg of the intersection. The receivers with the highest concentrations at each intersection are presented in Exhibit </w:t>
      </w:r>
      <w:r w:rsidRPr="004562B8">
        <w:rPr>
          <w:highlight w:val="cyan"/>
        </w:rPr>
        <w:t>18</w:t>
      </w:r>
      <w:r w:rsidRPr="00293909">
        <w:t>.</w:t>
      </w:r>
    </w:p>
    <w:p w14:paraId="46CCDC1D" w14:textId="77777777" w:rsidR="00B73A46" w:rsidRDefault="00B73A46" w:rsidP="00B73A46"/>
    <w:p w14:paraId="3C2522F2" w14:textId="77777777" w:rsidR="00B73A46" w:rsidRPr="00804458" w:rsidRDefault="00B73A46" w:rsidP="00B73A46">
      <w:pPr>
        <w:pStyle w:val="ExhibitTitle"/>
      </w:pPr>
      <w:r>
        <w:t xml:space="preserve">Exhibit </w:t>
      </w:r>
      <w:r w:rsidRPr="004562B8">
        <w:rPr>
          <w:highlight w:val="cyan"/>
        </w:rPr>
        <w:t>18</w:t>
      </w:r>
      <w:r w:rsidRPr="00293909">
        <w:t xml:space="preserve"> – Modeled</w:t>
      </w:r>
      <w:r w:rsidRPr="00804458">
        <w:t xml:space="preserve"> CO </w:t>
      </w:r>
      <w:r>
        <w:t>Concentrations</w:t>
      </w:r>
      <w:r w:rsidRPr="00804458">
        <w:t xml:space="preserve"> Compared to NAAQS </w:t>
      </w:r>
    </w:p>
    <w:tbl>
      <w:tblPr>
        <w:tblW w:w="9450" w:type="dxa"/>
        <w:tblBorders>
          <w:top w:val="single" w:sz="12" w:space="0" w:color="auto"/>
          <w:bottom w:val="single" w:sz="12" w:space="0" w:color="auto"/>
          <w:insideH w:val="single" w:sz="4" w:space="0" w:color="D9D9D9" w:themeColor="background1" w:themeShade="D9"/>
        </w:tblBorders>
        <w:tblLook w:val="04A0" w:firstRow="1" w:lastRow="0" w:firstColumn="1" w:lastColumn="0" w:noHBand="0" w:noVBand="1"/>
      </w:tblPr>
      <w:tblGrid>
        <w:gridCol w:w="4216"/>
        <w:gridCol w:w="914"/>
        <w:gridCol w:w="963"/>
        <w:gridCol w:w="7"/>
        <w:gridCol w:w="920"/>
        <w:gridCol w:w="720"/>
        <w:gridCol w:w="7"/>
        <w:gridCol w:w="893"/>
        <w:gridCol w:w="810"/>
      </w:tblGrid>
      <w:tr w:rsidR="00B73A46" w:rsidRPr="00566727" w14:paraId="703258F4" w14:textId="77777777" w:rsidTr="00B73A46">
        <w:tc>
          <w:tcPr>
            <w:tcW w:w="4216" w:type="dxa"/>
            <w:vMerge w:val="restart"/>
            <w:tcBorders>
              <w:right w:val="single" w:sz="4" w:space="0" w:color="auto"/>
            </w:tcBorders>
            <w:vAlign w:val="center"/>
          </w:tcPr>
          <w:p w14:paraId="77BA72A8" w14:textId="77777777" w:rsidR="00B73A46" w:rsidRPr="006B326A" w:rsidRDefault="00B73A46" w:rsidP="00B73A46">
            <w:pPr>
              <w:spacing w:before="60" w:after="60" w:line="240" w:lineRule="auto"/>
              <w:rPr>
                <w:b/>
                <w:szCs w:val="24"/>
              </w:rPr>
            </w:pPr>
            <w:r w:rsidRPr="006B326A">
              <w:rPr>
                <w:b/>
                <w:szCs w:val="24"/>
              </w:rPr>
              <w:t>Intersection</w:t>
            </w:r>
          </w:p>
        </w:tc>
        <w:tc>
          <w:tcPr>
            <w:tcW w:w="1884" w:type="dxa"/>
            <w:gridSpan w:val="3"/>
            <w:tcBorders>
              <w:left w:val="single" w:sz="4" w:space="0" w:color="auto"/>
              <w:bottom w:val="single" w:sz="12" w:space="0" w:color="auto"/>
              <w:right w:val="single" w:sz="4" w:space="0" w:color="auto"/>
            </w:tcBorders>
            <w:vAlign w:val="center"/>
          </w:tcPr>
          <w:p w14:paraId="46CD8194" w14:textId="77777777" w:rsidR="00B73A46" w:rsidRPr="006B326A" w:rsidRDefault="00B73A46" w:rsidP="00B73A46">
            <w:pPr>
              <w:spacing w:before="60" w:after="60" w:line="240" w:lineRule="auto"/>
              <w:jc w:val="center"/>
              <w:rPr>
                <w:b/>
                <w:szCs w:val="24"/>
              </w:rPr>
            </w:pPr>
            <w:r w:rsidRPr="006B326A">
              <w:rPr>
                <w:b/>
                <w:szCs w:val="24"/>
              </w:rPr>
              <w:t>Existing (2015) (ppm)</w:t>
            </w:r>
          </w:p>
        </w:tc>
        <w:tc>
          <w:tcPr>
            <w:tcW w:w="1647" w:type="dxa"/>
            <w:gridSpan w:val="3"/>
            <w:tcBorders>
              <w:left w:val="single" w:sz="4" w:space="0" w:color="auto"/>
              <w:bottom w:val="single" w:sz="12" w:space="0" w:color="auto"/>
              <w:right w:val="single" w:sz="4" w:space="0" w:color="auto"/>
            </w:tcBorders>
            <w:vAlign w:val="center"/>
          </w:tcPr>
          <w:p w14:paraId="54F0EFFE" w14:textId="77777777" w:rsidR="00B73A46" w:rsidRPr="006B326A" w:rsidRDefault="00B73A46" w:rsidP="00B73A46">
            <w:pPr>
              <w:spacing w:before="60" w:after="60" w:line="240" w:lineRule="auto"/>
              <w:jc w:val="center"/>
              <w:rPr>
                <w:b/>
                <w:szCs w:val="24"/>
              </w:rPr>
            </w:pPr>
            <w:r w:rsidRPr="006B326A">
              <w:rPr>
                <w:b/>
                <w:szCs w:val="24"/>
              </w:rPr>
              <w:t>Build (2040) (ppm)</w:t>
            </w:r>
          </w:p>
        </w:tc>
        <w:tc>
          <w:tcPr>
            <w:tcW w:w="1703" w:type="dxa"/>
            <w:gridSpan w:val="2"/>
            <w:tcBorders>
              <w:left w:val="single" w:sz="4" w:space="0" w:color="auto"/>
              <w:bottom w:val="single" w:sz="12" w:space="0" w:color="auto"/>
            </w:tcBorders>
            <w:vAlign w:val="center"/>
          </w:tcPr>
          <w:p w14:paraId="3A33CC53" w14:textId="77777777" w:rsidR="00B73A46" w:rsidRPr="006B326A" w:rsidRDefault="00B73A46" w:rsidP="00B73A46">
            <w:pPr>
              <w:spacing w:before="60" w:after="60" w:line="240" w:lineRule="auto"/>
              <w:jc w:val="center"/>
              <w:rPr>
                <w:b/>
                <w:szCs w:val="24"/>
              </w:rPr>
            </w:pPr>
            <w:r w:rsidRPr="006B326A">
              <w:rPr>
                <w:b/>
                <w:szCs w:val="24"/>
              </w:rPr>
              <w:t>NAAQS (ppm)</w:t>
            </w:r>
          </w:p>
        </w:tc>
      </w:tr>
      <w:tr w:rsidR="00B73A46" w:rsidRPr="00566727" w14:paraId="2BF50859" w14:textId="77777777" w:rsidTr="00B73A46">
        <w:tc>
          <w:tcPr>
            <w:tcW w:w="4216" w:type="dxa"/>
            <w:vMerge/>
            <w:tcBorders>
              <w:bottom w:val="single" w:sz="12" w:space="0" w:color="auto"/>
              <w:right w:val="single" w:sz="4" w:space="0" w:color="auto"/>
            </w:tcBorders>
            <w:vAlign w:val="center"/>
          </w:tcPr>
          <w:p w14:paraId="568B6972" w14:textId="77777777" w:rsidR="00B73A46" w:rsidRPr="006B326A" w:rsidRDefault="00B73A46" w:rsidP="00B73A46">
            <w:pPr>
              <w:spacing w:before="60" w:after="60" w:line="240" w:lineRule="auto"/>
              <w:rPr>
                <w:b/>
                <w:szCs w:val="24"/>
              </w:rPr>
            </w:pPr>
          </w:p>
        </w:tc>
        <w:tc>
          <w:tcPr>
            <w:tcW w:w="914" w:type="dxa"/>
            <w:tcBorders>
              <w:left w:val="single" w:sz="4" w:space="0" w:color="auto"/>
              <w:bottom w:val="single" w:sz="12" w:space="0" w:color="auto"/>
            </w:tcBorders>
            <w:vAlign w:val="center"/>
          </w:tcPr>
          <w:p w14:paraId="3D592E54" w14:textId="77777777" w:rsidR="00B73A46" w:rsidRPr="006B326A" w:rsidRDefault="00B73A46" w:rsidP="00B73A46">
            <w:pPr>
              <w:spacing w:before="60" w:after="60" w:line="240" w:lineRule="auto"/>
              <w:jc w:val="center"/>
              <w:rPr>
                <w:b/>
                <w:szCs w:val="24"/>
              </w:rPr>
            </w:pPr>
            <w:r w:rsidRPr="006B326A">
              <w:rPr>
                <w:b/>
                <w:szCs w:val="24"/>
              </w:rPr>
              <w:t>1-h</w:t>
            </w:r>
            <w:r>
              <w:rPr>
                <w:b/>
                <w:szCs w:val="24"/>
              </w:rPr>
              <w:t>r</w:t>
            </w:r>
          </w:p>
        </w:tc>
        <w:tc>
          <w:tcPr>
            <w:tcW w:w="963" w:type="dxa"/>
            <w:tcBorders>
              <w:bottom w:val="single" w:sz="12" w:space="0" w:color="auto"/>
              <w:right w:val="single" w:sz="4" w:space="0" w:color="auto"/>
            </w:tcBorders>
            <w:vAlign w:val="center"/>
          </w:tcPr>
          <w:p w14:paraId="21532648" w14:textId="77777777" w:rsidR="00B73A46" w:rsidRPr="006B326A" w:rsidRDefault="00B73A46" w:rsidP="00B73A46">
            <w:pPr>
              <w:spacing w:before="60" w:after="60" w:line="240" w:lineRule="auto"/>
              <w:jc w:val="center"/>
              <w:rPr>
                <w:b/>
                <w:szCs w:val="24"/>
              </w:rPr>
            </w:pPr>
            <w:r w:rsidRPr="006B326A">
              <w:rPr>
                <w:b/>
                <w:szCs w:val="24"/>
              </w:rPr>
              <w:t>8-h</w:t>
            </w:r>
            <w:r>
              <w:rPr>
                <w:b/>
                <w:szCs w:val="24"/>
              </w:rPr>
              <w:t>r</w:t>
            </w:r>
          </w:p>
        </w:tc>
        <w:tc>
          <w:tcPr>
            <w:tcW w:w="927" w:type="dxa"/>
            <w:gridSpan w:val="2"/>
            <w:tcBorders>
              <w:left w:val="single" w:sz="4" w:space="0" w:color="auto"/>
              <w:bottom w:val="single" w:sz="12" w:space="0" w:color="auto"/>
            </w:tcBorders>
            <w:vAlign w:val="center"/>
          </w:tcPr>
          <w:p w14:paraId="0DF062DD" w14:textId="77777777" w:rsidR="00B73A46" w:rsidRPr="006B326A" w:rsidRDefault="00B73A46" w:rsidP="00B73A46">
            <w:pPr>
              <w:spacing w:before="60" w:after="60" w:line="240" w:lineRule="auto"/>
              <w:jc w:val="center"/>
              <w:rPr>
                <w:b/>
                <w:szCs w:val="24"/>
              </w:rPr>
            </w:pPr>
            <w:r w:rsidRPr="006B326A">
              <w:rPr>
                <w:b/>
                <w:szCs w:val="24"/>
              </w:rPr>
              <w:t>1-h</w:t>
            </w:r>
            <w:r>
              <w:rPr>
                <w:b/>
                <w:szCs w:val="24"/>
              </w:rPr>
              <w:t>r</w:t>
            </w:r>
          </w:p>
        </w:tc>
        <w:tc>
          <w:tcPr>
            <w:tcW w:w="720" w:type="dxa"/>
            <w:tcBorders>
              <w:bottom w:val="single" w:sz="12" w:space="0" w:color="auto"/>
              <w:right w:val="single" w:sz="4" w:space="0" w:color="auto"/>
            </w:tcBorders>
            <w:vAlign w:val="center"/>
          </w:tcPr>
          <w:p w14:paraId="5A0D6F6E" w14:textId="77777777" w:rsidR="00B73A46" w:rsidRPr="006B326A" w:rsidRDefault="00B73A46" w:rsidP="00B73A46">
            <w:pPr>
              <w:spacing w:before="60" w:after="60" w:line="240" w:lineRule="auto"/>
              <w:jc w:val="center"/>
              <w:rPr>
                <w:b/>
                <w:szCs w:val="24"/>
              </w:rPr>
            </w:pPr>
            <w:r w:rsidRPr="006B326A">
              <w:rPr>
                <w:b/>
                <w:szCs w:val="24"/>
              </w:rPr>
              <w:t>8-h</w:t>
            </w:r>
            <w:r>
              <w:rPr>
                <w:b/>
                <w:szCs w:val="24"/>
              </w:rPr>
              <w:t>r</w:t>
            </w:r>
          </w:p>
        </w:tc>
        <w:tc>
          <w:tcPr>
            <w:tcW w:w="900" w:type="dxa"/>
            <w:gridSpan w:val="2"/>
            <w:tcBorders>
              <w:left w:val="single" w:sz="4" w:space="0" w:color="auto"/>
              <w:bottom w:val="single" w:sz="12" w:space="0" w:color="auto"/>
            </w:tcBorders>
            <w:vAlign w:val="center"/>
          </w:tcPr>
          <w:p w14:paraId="5078C32D" w14:textId="77777777" w:rsidR="00B73A46" w:rsidRPr="006B326A" w:rsidRDefault="00B73A46" w:rsidP="00B73A46">
            <w:pPr>
              <w:spacing w:before="60" w:after="60" w:line="240" w:lineRule="auto"/>
              <w:jc w:val="center"/>
              <w:rPr>
                <w:b/>
                <w:szCs w:val="24"/>
              </w:rPr>
            </w:pPr>
            <w:r w:rsidRPr="006B326A">
              <w:rPr>
                <w:b/>
                <w:szCs w:val="24"/>
              </w:rPr>
              <w:t>1-h</w:t>
            </w:r>
            <w:r>
              <w:rPr>
                <w:b/>
                <w:szCs w:val="24"/>
              </w:rPr>
              <w:t>r</w:t>
            </w:r>
          </w:p>
        </w:tc>
        <w:tc>
          <w:tcPr>
            <w:tcW w:w="810" w:type="dxa"/>
            <w:tcBorders>
              <w:bottom w:val="single" w:sz="12" w:space="0" w:color="auto"/>
            </w:tcBorders>
            <w:vAlign w:val="center"/>
          </w:tcPr>
          <w:p w14:paraId="43E4649F" w14:textId="77777777" w:rsidR="00B73A46" w:rsidRPr="006B326A" w:rsidRDefault="00B73A46" w:rsidP="00B73A46">
            <w:pPr>
              <w:spacing w:before="60" w:after="60" w:line="240" w:lineRule="auto"/>
              <w:jc w:val="center"/>
              <w:rPr>
                <w:b/>
                <w:szCs w:val="24"/>
              </w:rPr>
            </w:pPr>
            <w:r w:rsidRPr="006B326A">
              <w:rPr>
                <w:b/>
                <w:szCs w:val="24"/>
              </w:rPr>
              <w:t>8-h</w:t>
            </w:r>
            <w:r>
              <w:rPr>
                <w:b/>
                <w:szCs w:val="24"/>
              </w:rPr>
              <w:t>r</w:t>
            </w:r>
          </w:p>
        </w:tc>
      </w:tr>
      <w:tr w:rsidR="00B73A46" w:rsidRPr="00566727" w14:paraId="5A13C2FC" w14:textId="77777777" w:rsidTr="00B73A46">
        <w:tc>
          <w:tcPr>
            <w:tcW w:w="4216" w:type="dxa"/>
            <w:tcBorders>
              <w:top w:val="single" w:sz="12" w:space="0" w:color="auto"/>
              <w:bottom w:val="single" w:sz="4" w:space="0" w:color="BFBFBF" w:themeColor="background1" w:themeShade="BF"/>
              <w:right w:val="single" w:sz="4" w:space="0" w:color="auto"/>
            </w:tcBorders>
          </w:tcPr>
          <w:p w14:paraId="724DF6FA" w14:textId="77777777" w:rsidR="00B73A46" w:rsidRPr="004562B8" w:rsidRDefault="00B73A46" w:rsidP="00B73A46">
            <w:pPr>
              <w:spacing w:before="120" w:after="120"/>
              <w:rPr>
                <w:szCs w:val="24"/>
                <w:highlight w:val="cyan"/>
              </w:rPr>
            </w:pPr>
            <w:r w:rsidRPr="004562B8">
              <w:rPr>
                <w:szCs w:val="24"/>
                <w:highlight w:val="cyan"/>
              </w:rPr>
              <w:t>US 2 (S Division St) and E 3rd Ave</w:t>
            </w:r>
          </w:p>
        </w:tc>
        <w:tc>
          <w:tcPr>
            <w:tcW w:w="914" w:type="dxa"/>
            <w:tcBorders>
              <w:top w:val="single" w:sz="12" w:space="0" w:color="auto"/>
              <w:left w:val="single" w:sz="4" w:space="0" w:color="auto"/>
              <w:bottom w:val="single" w:sz="4" w:space="0" w:color="BFBFBF" w:themeColor="background1" w:themeShade="BF"/>
            </w:tcBorders>
            <w:vAlign w:val="center"/>
          </w:tcPr>
          <w:p w14:paraId="3408BAF3" w14:textId="77777777" w:rsidR="00B73A46" w:rsidRPr="004562B8" w:rsidRDefault="00B73A46" w:rsidP="00B73A46">
            <w:pPr>
              <w:spacing w:before="120" w:after="120"/>
              <w:jc w:val="center"/>
              <w:rPr>
                <w:szCs w:val="24"/>
                <w:highlight w:val="cyan"/>
              </w:rPr>
            </w:pPr>
            <w:r w:rsidRPr="004562B8">
              <w:rPr>
                <w:szCs w:val="24"/>
                <w:highlight w:val="cyan"/>
              </w:rPr>
              <w:t>3.8</w:t>
            </w:r>
          </w:p>
        </w:tc>
        <w:tc>
          <w:tcPr>
            <w:tcW w:w="963" w:type="dxa"/>
            <w:tcBorders>
              <w:top w:val="single" w:sz="12" w:space="0" w:color="auto"/>
              <w:bottom w:val="single" w:sz="4" w:space="0" w:color="BFBFBF" w:themeColor="background1" w:themeShade="BF"/>
              <w:right w:val="single" w:sz="4" w:space="0" w:color="auto"/>
            </w:tcBorders>
            <w:vAlign w:val="center"/>
          </w:tcPr>
          <w:p w14:paraId="4DF8C5EE" w14:textId="77777777" w:rsidR="00B73A46" w:rsidRPr="004562B8" w:rsidRDefault="00B73A46" w:rsidP="00B73A46">
            <w:pPr>
              <w:spacing w:before="120" w:after="120"/>
              <w:jc w:val="center"/>
              <w:rPr>
                <w:szCs w:val="24"/>
                <w:highlight w:val="cyan"/>
              </w:rPr>
            </w:pPr>
            <w:r w:rsidRPr="004562B8">
              <w:rPr>
                <w:szCs w:val="24"/>
                <w:highlight w:val="cyan"/>
              </w:rPr>
              <w:t>3.6</w:t>
            </w:r>
          </w:p>
        </w:tc>
        <w:tc>
          <w:tcPr>
            <w:tcW w:w="927" w:type="dxa"/>
            <w:gridSpan w:val="2"/>
            <w:tcBorders>
              <w:top w:val="single" w:sz="12" w:space="0" w:color="auto"/>
              <w:left w:val="single" w:sz="4" w:space="0" w:color="auto"/>
              <w:bottom w:val="single" w:sz="4" w:space="0" w:color="BFBFBF" w:themeColor="background1" w:themeShade="BF"/>
            </w:tcBorders>
            <w:vAlign w:val="center"/>
          </w:tcPr>
          <w:p w14:paraId="5BCE2A81" w14:textId="77777777" w:rsidR="00B73A46" w:rsidRPr="004562B8" w:rsidRDefault="00B73A46" w:rsidP="00B73A46">
            <w:pPr>
              <w:spacing w:before="120" w:after="120"/>
              <w:jc w:val="center"/>
              <w:rPr>
                <w:szCs w:val="24"/>
                <w:highlight w:val="cyan"/>
              </w:rPr>
            </w:pPr>
            <w:r w:rsidRPr="004562B8">
              <w:rPr>
                <w:szCs w:val="24"/>
                <w:highlight w:val="cyan"/>
              </w:rPr>
              <w:t>3.3</w:t>
            </w:r>
          </w:p>
        </w:tc>
        <w:tc>
          <w:tcPr>
            <w:tcW w:w="720" w:type="dxa"/>
            <w:tcBorders>
              <w:top w:val="single" w:sz="12" w:space="0" w:color="auto"/>
              <w:bottom w:val="single" w:sz="4" w:space="0" w:color="BFBFBF" w:themeColor="background1" w:themeShade="BF"/>
              <w:right w:val="single" w:sz="4" w:space="0" w:color="auto"/>
            </w:tcBorders>
            <w:vAlign w:val="center"/>
          </w:tcPr>
          <w:p w14:paraId="0F41780C" w14:textId="77777777" w:rsidR="00B73A46" w:rsidRPr="004562B8" w:rsidRDefault="00B73A46" w:rsidP="00B73A46">
            <w:pPr>
              <w:spacing w:before="120" w:after="120"/>
              <w:jc w:val="center"/>
              <w:rPr>
                <w:szCs w:val="24"/>
                <w:highlight w:val="cyan"/>
              </w:rPr>
            </w:pPr>
            <w:r w:rsidRPr="004562B8">
              <w:rPr>
                <w:szCs w:val="24"/>
                <w:highlight w:val="cyan"/>
              </w:rPr>
              <w:t>3.2</w:t>
            </w:r>
          </w:p>
        </w:tc>
        <w:tc>
          <w:tcPr>
            <w:tcW w:w="900" w:type="dxa"/>
            <w:gridSpan w:val="2"/>
            <w:tcBorders>
              <w:top w:val="single" w:sz="12" w:space="0" w:color="auto"/>
              <w:left w:val="single" w:sz="4" w:space="0" w:color="auto"/>
              <w:bottom w:val="single" w:sz="4" w:space="0" w:color="BFBFBF" w:themeColor="background1" w:themeShade="BF"/>
            </w:tcBorders>
            <w:vAlign w:val="center"/>
          </w:tcPr>
          <w:p w14:paraId="5DA72E63" w14:textId="77777777" w:rsidR="00B73A46" w:rsidRPr="004562B8" w:rsidRDefault="00B73A46" w:rsidP="00B73A46">
            <w:pPr>
              <w:spacing w:before="120" w:after="120"/>
              <w:jc w:val="center"/>
              <w:rPr>
                <w:szCs w:val="24"/>
                <w:highlight w:val="cyan"/>
              </w:rPr>
            </w:pPr>
            <w:r w:rsidRPr="004562B8">
              <w:rPr>
                <w:szCs w:val="24"/>
                <w:highlight w:val="cyan"/>
              </w:rPr>
              <w:t>35</w:t>
            </w:r>
          </w:p>
        </w:tc>
        <w:tc>
          <w:tcPr>
            <w:tcW w:w="810" w:type="dxa"/>
            <w:tcBorders>
              <w:top w:val="single" w:sz="12" w:space="0" w:color="auto"/>
              <w:bottom w:val="single" w:sz="4" w:space="0" w:color="BFBFBF" w:themeColor="background1" w:themeShade="BF"/>
            </w:tcBorders>
            <w:vAlign w:val="center"/>
          </w:tcPr>
          <w:p w14:paraId="71AB777C" w14:textId="77777777" w:rsidR="00B73A46" w:rsidRPr="004562B8" w:rsidRDefault="00B73A46" w:rsidP="00B73A46">
            <w:pPr>
              <w:spacing w:before="120" w:after="120"/>
              <w:jc w:val="center"/>
              <w:rPr>
                <w:szCs w:val="24"/>
                <w:highlight w:val="cyan"/>
              </w:rPr>
            </w:pPr>
            <w:r w:rsidRPr="004562B8">
              <w:rPr>
                <w:szCs w:val="24"/>
                <w:highlight w:val="cyan"/>
              </w:rPr>
              <w:t>9</w:t>
            </w:r>
          </w:p>
        </w:tc>
      </w:tr>
      <w:tr w:rsidR="00B73A46" w14:paraId="305B344E" w14:textId="77777777" w:rsidTr="00B73A46">
        <w:tc>
          <w:tcPr>
            <w:tcW w:w="4216" w:type="dxa"/>
            <w:tcBorders>
              <w:top w:val="single" w:sz="4" w:space="0" w:color="BFBFBF" w:themeColor="background1" w:themeShade="BF"/>
              <w:bottom w:val="single" w:sz="4" w:space="0" w:color="BFBFBF" w:themeColor="background1" w:themeShade="BF"/>
              <w:right w:val="single" w:sz="4" w:space="0" w:color="auto"/>
            </w:tcBorders>
          </w:tcPr>
          <w:p w14:paraId="432C2FF6" w14:textId="77777777" w:rsidR="00B73A46" w:rsidRPr="004562B8" w:rsidRDefault="00B73A46" w:rsidP="00B73A46">
            <w:pPr>
              <w:spacing w:before="120" w:after="120"/>
              <w:rPr>
                <w:szCs w:val="24"/>
                <w:highlight w:val="cyan"/>
              </w:rPr>
            </w:pPr>
            <w:r w:rsidRPr="004562B8">
              <w:rPr>
                <w:szCs w:val="24"/>
                <w:highlight w:val="cyan"/>
              </w:rPr>
              <w:t>SR 290/N Hamilton St and E Trent Ave</w:t>
            </w:r>
          </w:p>
        </w:tc>
        <w:tc>
          <w:tcPr>
            <w:tcW w:w="914" w:type="dxa"/>
            <w:tcBorders>
              <w:top w:val="single" w:sz="4" w:space="0" w:color="BFBFBF" w:themeColor="background1" w:themeShade="BF"/>
              <w:left w:val="single" w:sz="4" w:space="0" w:color="auto"/>
              <w:bottom w:val="single" w:sz="4" w:space="0" w:color="BFBFBF" w:themeColor="background1" w:themeShade="BF"/>
            </w:tcBorders>
            <w:vAlign w:val="center"/>
          </w:tcPr>
          <w:p w14:paraId="1138D839" w14:textId="77777777" w:rsidR="00B73A46" w:rsidRPr="004562B8" w:rsidRDefault="00B73A46" w:rsidP="00B73A46">
            <w:pPr>
              <w:spacing w:before="120" w:after="120"/>
              <w:jc w:val="center"/>
              <w:rPr>
                <w:szCs w:val="24"/>
                <w:highlight w:val="cyan"/>
              </w:rPr>
            </w:pPr>
            <w:r w:rsidRPr="004562B8">
              <w:rPr>
                <w:szCs w:val="24"/>
                <w:highlight w:val="cyan"/>
              </w:rPr>
              <w:t>3.9</w:t>
            </w:r>
          </w:p>
        </w:tc>
        <w:tc>
          <w:tcPr>
            <w:tcW w:w="963" w:type="dxa"/>
            <w:tcBorders>
              <w:top w:val="single" w:sz="4" w:space="0" w:color="BFBFBF" w:themeColor="background1" w:themeShade="BF"/>
              <w:bottom w:val="single" w:sz="4" w:space="0" w:color="BFBFBF" w:themeColor="background1" w:themeShade="BF"/>
              <w:right w:val="single" w:sz="4" w:space="0" w:color="auto"/>
            </w:tcBorders>
            <w:vAlign w:val="center"/>
          </w:tcPr>
          <w:p w14:paraId="4CCBACBE" w14:textId="77777777" w:rsidR="00B73A46" w:rsidRPr="004562B8" w:rsidRDefault="00B73A46" w:rsidP="00B73A46">
            <w:pPr>
              <w:spacing w:before="120" w:after="120"/>
              <w:jc w:val="center"/>
              <w:rPr>
                <w:szCs w:val="24"/>
                <w:highlight w:val="cyan"/>
              </w:rPr>
            </w:pPr>
            <w:r w:rsidRPr="004562B8">
              <w:rPr>
                <w:szCs w:val="24"/>
                <w:highlight w:val="cyan"/>
              </w:rPr>
              <w:t>3.6</w:t>
            </w:r>
          </w:p>
        </w:tc>
        <w:tc>
          <w:tcPr>
            <w:tcW w:w="927" w:type="dxa"/>
            <w:gridSpan w:val="2"/>
            <w:tcBorders>
              <w:top w:val="single" w:sz="4" w:space="0" w:color="BFBFBF" w:themeColor="background1" w:themeShade="BF"/>
              <w:left w:val="single" w:sz="4" w:space="0" w:color="auto"/>
              <w:bottom w:val="single" w:sz="4" w:space="0" w:color="BFBFBF" w:themeColor="background1" w:themeShade="BF"/>
            </w:tcBorders>
            <w:vAlign w:val="center"/>
          </w:tcPr>
          <w:p w14:paraId="3CAECB0B" w14:textId="77777777" w:rsidR="00B73A46" w:rsidRPr="004562B8" w:rsidRDefault="00B73A46" w:rsidP="00B73A46">
            <w:pPr>
              <w:spacing w:before="120" w:after="120"/>
              <w:jc w:val="center"/>
              <w:rPr>
                <w:szCs w:val="24"/>
                <w:highlight w:val="cyan"/>
              </w:rPr>
            </w:pPr>
            <w:r w:rsidRPr="004562B8">
              <w:rPr>
                <w:szCs w:val="24"/>
                <w:highlight w:val="cyan"/>
              </w:rPr>
              <w:t>3.3</w:t>
            </w:r>
          </w:p>
        </w:tc>
        <w:tc>
          <w:tcPr>
            <w:tcW w:w="720" w:type="dxa"/>
            <w:tcBorders>
              <w:top w:val="single" w:sz="4" w:space="0" w:color="BFBFBF" w:themeColor="background1" w:themeShade="BF"/>
              <w:bottom w:val="single" w:sz="4" w:space="0" w:color="BFBFBF" w:themeColor="background1" w:themeShade="BF"/>
              <w:right w:val="single" w:sz="4" w:space="0" w:color="auto"/>
            </w:tcBorders>
            <w:vAlign w:val="center"/>
          </w:tcPr>
          <w:p w14:paraId="18B02C8E" w14:textId="77777777" w:rsidR="00B73A46" w:rsidRPr="004562B8" w:rsidRDefault="00B73A46" w:rsidP="00B73A46">
            <w:pPr>
              <w:spacing w:before="120" w:after="120"/>
              <w:jc w:val="center"/>
              <w:rPr>
                <w:szCs w:val="24"/>
                <w:highlight w:val="cyan"/>
              </w:rPr>
            </w:pPr>
            <w:r w:rsidRPr="004562B8">
              <w:rPr>
                <w:szCs w:val="24"/>
                <w:highlight w:val="cyan"/>
              </w:rPr>
              <w:t>3.2</w:t>
            </w:r>
          </w:p>
        </w:tc>
        <w:tc>
          <w:tcPr>
            <w:tcW w:w="900" w:type="dxa"/>
            <w:gridSpan w:val="2"/>
            <w:tcBorders>
              <w:top w:val="single" w:sz="4" w:space="0" w:color="BFBFBF" w:themeColor="background1" w:themeShade="BF"/>
              <w:left w:val="single" w:sz="4" w:space="0" w:color="auto"/>
              <w:bottom w:val="single" w:sz="4" w:space="0" w:color="BFBFBF" w:themeColor="background1" w:themeShade="BF"/>
            </w:tcBorders>
            <w:vAlign w:val="center"/>
          </w:tcPr>
          <w:p w14:paraId="39AA08F8" w14:textId="77777777" w:rsidR="00B73A46" w:rsidRPr="004562B8" w:rsidRDefault="00B73A46" w:rsidP="00B73A46">
            <w:pPr>
              <w:spacing w:before="120" w:after="120"/>
              <w:jc w:val="center"/>
              <w:rPr>
                <w:szCs w:val="24"/>
                <w:highlight w:val="cyan"/>
              </w:rPr>
            </w:pPr>
            <w:r w:rsidRPr="004562B8">
              <w:rPr>
                <w:szCs w:val="24"/>
                <w:highlight w:val="cyan"/>
              </w:rPr>
              <w:t>35</w:t>
            </w:r>
          </w:p>
        </w:tc>
        <w:tc>
          <w:tcPr>
            <w:tcW w:w="810" w:type="dxa"/>
            <w:tcBorders>
              <w:top w:val="single" w:sz="4" w:space="0" w:color="BFBFBF" w:themeColor="background1" w:themeShade="BF"/>
              <w:bottom w:val="single" w:sz="4" w:space="0" w:color="BFBFBF" w:themeColor="background1" w:themeShade="BF"/>
            </w:tcBorders>
            <w:vAlign w:val="center"/>
          </w:tcPr>
          <w:p w14:paraId="4B26F393" w14:textId="77777777" w:rsidR="00B73A46" w:rsidRPr="004562B8" w:rsidRDefault="00B73A46" w:rsidP="00B73A46">
            <w:pPr>
              <w:spacing w:before="120" w:after="120"/>
              <w:jc w:val="center"/>
              <w:rPr>
                <w:szCs w:val="24"/>
                <w:highlight w:val="cyan"/>
              </w:rPr>
            </w:pPr>
            <w:r w:rsidRPr="004562B8">
              <w:rPr>
                <w:szCs w:val="24"/>
                <w:highlight w:val="cyan"/>
              </w:rPr>
              <w:t>9</w:t>
            </w:r>
          </w:p>
        </w:tc>
      </w:tr>
      <w:tr w:rsidR="00B73A46" w14:paraId="134DE8DF" w14:textId="77777777" w:rsidTr="00B73A46">
        <w:tc>
          <w:tcPr>
            <w:tcW w:w="4216" w:type="dxa"/>
            <w:tcBorders>
              <w:top w:val="single" w:sz="4" w:space="0" w:color="BFBFBF" w:themeColor="background1" w:themeShade="BF"/>
              <w:bottom w:val="single" w:sz="4" w:space="0" w:color="BFBFBF" w:themeColor="background1" w:themeShade="BF"/>
              <w:right w:val="single" w:sz="4" w:space="0" w:color="auto"/>
            </w:tcBorders>
          </w:tcPr>
          <w:p w14:paraId="35F26F60" w14:textId="77777777" w:rsidR="00B73A46" w:rsidRPr="004562B8" w:rsidRDefault="00B73A46" w:rsidP="00B73A46">
            <w:pPr>
              <w:spacing w:before="120" w:after="120"/>
              <w:rPr>
                <w:szCs w:val="24"/>
                <w:highlight w:val="cyan"/>
              </w:rPr>
            </w:pPr>
            <w:r w:rsidRPr="004562B8">
              <w:rPr>
                <w:szCs w:val="24"/>
                <w:highlight w:val="cyan"/>
              </w:rPr>
              <w:t>S Freya St and E Sprague Ave</w:t>
            </w:r>
          </w:p>
        </w:tc>
        <w:tc>
          <w:tcPr>
            <w:tcW w:w="914" w:type="dxa"/>
            <w:tcBorders>
              <w:top w:val="single" w:sz="4" w:space="0" w:color="BFBFBF" w:themeColor="background1" w:themeShade="BF"/>
              <w:left w:val="single" w:sz="4" w:space="0" w:color="auto"/>
              <w:bottom w:val="single" w:sz="4" w:space="0" w:color="BFBFBF" w:themeColor="background1" w:themeShade="BF"/>
            </w:tcBorders>
            <w:vAlign w:val="center"/>
          </w:tcPr>
          <w:p w14:paraId="30A783F4" w14:textId="77777777" w:rsidR="00B73A46" w:rsidRPr="004562B8" w:rsidRDefault="00B73A46" w:rsidP="00B73A46">
            <w:pPr>
              <w:spacing w:before="120" w:after="120"/>
              <w:jc w:val="center"/>
              <w:rPr>
                <w:szCs w:val="24"/>
                <w:highlight w:val="cyan"/>
              </w:rPr>
            </w:pPr>
            <w:r w:rsidRPr="004562B8">
              <w:rPr>
                <w:szCs w:val="24"/>
                <w:highlight w:val="cyan"/>
              </w:rPr>
              <w:t>3.9</w:t>
            </w:r>
          </w:p>
        </w:tc>
        <w:tc>
          <w:tcPr>
            <w:tcW w:w="963" w:type="dxa"/>
            <w:tcBorders>
              <w:top w:val="single" w:sz="4" w:space="0" w:color="BFBFBF" w:themeColor="background1" w:themeShade="BF"/>
              <w:bottom w:val="single" w:sz="4" w:space="0" w:color="BFBFBF" w:themeColor="background1" w:themeShade="BF"/>
              <w:right w:val="single" w:sz="4" w:space="0" w:color="auto"/>
            </w:tcBorders>
            <w:vAlign w:val="center"/>
          </w:tcPr>
          <w:p w14:paraId="257DE575" w14:textId="77777777" w:rsidR="00B73A46" w:rsidRPr="004562B8" w:rsidRDefault="00B73A46" w:rsidP="00B73A46">
            <w:pPr>
              <w:spacing w:before="120" w:after="120"/>
              <w:jc w:val="center"/>
              <w:rPr>
                <w:szCs w:val="24"/>
                <w:highlight w:val="cyan"/>
              </w:rPr>
            </w:pPr>
            <w:r w:rsidRPr="004562B8">
              <w:rPr>
                <w:szCs w:val="24"/>
                <w:highlight w:val="cyan"/>
              </w:rPr>
              <w:t>3.6</w:t>
            </w:r>
          </w:p>
        </w:tc>
        <w:tc>
          <w:tcPr>
            <w:tcW w:w="927" w:type="dxa"/>
            <w:gridSpan w:val="2"/>
            <w:tcBorders>
              <w:top w:val="single" w:sz="4" w:space="0" w:color="BFBFBF" w:themeColor="background1" w:themeShade="BF"/>
              <w:left w:val="single" w:sz="4" w:space="0" w:color="auto"/>
              <w:bottom w:val="single" w:sz="4" w:space="0" w:color="BFBFBF" w:themeColor="background1" w:themeShade="BF"/>
            </w:tcBorders>
            <w:vAlign w:val="center"/>
          </w:tcPr>
          <w:p w14:paraId="69D88DB9" w14:textId="77777777" w:rsidR="00B73A46" w:rsidRPr="004562B8" w:rsidRDefault="00B73A46" w:rsidP="00B73A46">
            <w:pPr>
              <w:spacing w:before="120" w:after="120"/>
              <w:jc w:val="center"/>
              <w:rPr>
                <w:szCs w:val="24"/>
                <w:highlight w:val="cyan"/>
              </w:rPr>
            </w:pPr>
            <w:r w:rsidRPr="004562B8">
              <w:rPr>
                <w:szCs w:val="24"/>
                <w:highlight w:val="cyan"/>
              </w:rPr>
              <w:t>3.2</w:t>
            </w:r>
          </w:p>
        </w:tc>
        <w:tc>
          <w:tcPr>
            <w:tcW w:w="720" w:type="dxa"/>
            <w:tcBorders>
              <w:top w:val="single" w:sz="4" w:space="0" w:color="BFBFBF" w:themeColor="background1" w:themeShade="BF"/>
              <w:bottom w:val="single" w:sz="4" w:space="0" w:color="BFBFBF" w:themeColor="background1" w:themeShade="BF"/>
              <w:right w:val="single" w:sz="4" w:space="0" w:color="auto"/>
            </w:tcBorders>
            <w:vAlign w:val="center"/>
          </w:tcPr>
          <w:p w14:paraId="33C1D257" w14:textId="77777777" w:rsidR="00B73A46" w:rsidRPr="004562B8" w:rsidRDefault="00B73A46" w:rsidP="00B73A46">
            <w:pPr>
              <w:spacing w:before="120" w:after="120"/>
              <w:jc w:val="center"/>
              <w:rPr>
                <w:szCs w:val="24"/>
                <w:highlight w:val="cyan"/>
              </w:rPr>
            </w:pPr>
            <w:r w:rsidRPr="004562B8">
              <w:rPr>
                <w:szCs w:val="24"/>
                <w:highlight w:val="cyan"/>
              </w:rPr>
              <w:t>3.1</w:t>
            </w:r>
          </w:p>
        </w:tc>
        <w:tc>
          <w:tcPr>
            <w:tcW w:w="900" w:type="dxa"/>
            <w:gridSpan w:val="2"/>
            <w:tcBorders>
              <w:top w:val="single" w:sz="4" w:space="0" w:color="BFBFBF" w:themeColor="background1" w:themeShade="BF"/>
              <w:left w:val="single" w:sz="4" w:space="0" w:color="auto"/>
              <w:bottom w:val="single" w:sz="4" w:space="0" w:color="BFBFBF" w:themeColor="background1" w:themeShade="BF"/>
            </w:tcBorders>
            <w:vAlign w:val="center"/>
          </w:tcPr>
          <w:p w14:paraId="2DAF2F2B" w14:textId="77777777" w:rsidR="00B73A46" w:rsidRPr="004562B8" w:rsidRDefault="00B73A46" w:rsidP="00B73A46">
            <w:pPr>
              <w:spacing w:before="120" w:after="120"/>
              <w:jc w:val="center"/>
              <w:rPr>
                <w:szCs w:val="24"/>
                <w:highlight w:val="cyan"/>
              </w:rPr>
            </w:pPr>
            <w:r w:rsidRPr="004562B8">
              <w:rPr>
                <w:szCs w:val="24"/>
                <w:highlight w:val="cyan"/>
              </w:rPr>
              <w:t>35</w:t>
            </w:r>
          </w:p>
        </w:tc>
        <w:tc>
          <w:tcPr>
            <w:tcW w:w="810" w:type="dxa"/>
            <w:tcBorders>
              <w:top w:val="single" w:sz="4" w:space="0" w:color="BFBFBF" w:themeColor="background1" w:themeShade="BF"/>
              <w:bottom w:val="single" w:sz="4" w:space="0" w:color="BFBFBF" w:themeColor="background1" w:themeShade="BF"/>
            </w:tcBorders>
            <w:vAlign w:val="center"/>
          </w:tcPr>
          <w:p w14:paraId="34B15D1D" w14:textId="77777777" w:rsidR="00B73A46" w:rsidRPr="004562B8" w:rsidRDefault="00B73A46" w:rsidP="00B73A46">
            <w:pPr>
              <w:spacing w:before="120" w:after="120"/>
              <w:jc w:val="center"/>
              <w:rPr>
                <w:szCs w:val="24"/>
                <w:highlight w:val="cyan"/>
              </w:rPr>
            </w:pPr>
            <w:r w:rsidRPr="004562B8">
              <w:rPr>
                <w:szCs w:val="24"/>
                <w:highlight w:val="cyan"/>
              </w:rPr>
              <w:t>9</w:t>
            </w:r>
          </w:p>
        </w:tc>
      </w:tr>
      <w:tr w:rsidR="00B73A46" w14:paraId="4F338DA0" w14:textId="77777777" w:rsidTr="00B73A46">
        <w:tc>
          <w:tcPr>
            <w:tcW w:w="4216" w:type="dxa"/>
            <w:tcBorders>
              <w:top w:val="single" w:sz="4" w:space="0" w:color="BFBFBF" w:themeColor="background1" w:themeShade="BF"/>
              <w:bottom w:val="single" w:sz="4" w:space="0" w:color="BFBFBF" w:themeColor="background1" w:themeShade="BF"/>
              <w:right w:val="single" w:sz="4" w:space="0" w:color="auto"/>
            </w:tcBorders>
          </w:tcPr>
          <w:p w14:paraId="2EEB637E" w14:textId="77777777" w:rsidR="00B73A46" w:rsidRPr="004562B8" w:rsidRDefault="00B73A46" w:rsidP="00B73A46">
            <w:pPr>
              <w:spacing w:before="120" w:after="120"/>
              <w:rPr>
                <w:szCs w:val="24"/>
                <w:highlight w:val="cyan"/>
              </w:rPr>
            </w:pPr>
            <w:r w:rsidRPr="004562B8">
              <w:rPr>
                <w:szCs w:val="24"/>
                <w:highlight w:val="cyan"/>
              </w:rPr>
              <w:t>S Havana St and E Sprague Ave</w:t>
            </w:r>
          </w:p>
        </w:tc>
        <w:tc>
          <w:tcPr>
            <w:tcW w:w="914" w:type="dxa"/>
            <w:tcBorders>
              <w:top w:val="single" w:sz="4" w:space="0" w:color="BFBFBF" w:themeColor="background1" w:themeShade="BF"/>
              <w:left w:val="single" w:sz="4" w:space="0" w:color="auto"/>
              <w:bottom w:val="single" w:sz="4" w:space="0" w:color="BFBFBF" w:themeColor="background1" w:themeShade="BF"/>
            </w:tcBorders>
            <w:vAlign w:val="center"/>
          </w:tcPr>
          <w:p w14:paraId="1754A042" w14:textId="77777777" w:rsidR="00B73A46" w:rsidRPr="004562B8" w:rsidRDefault="00B73A46" w:rsidP="00B73A46">
            <w:pPr>
              <w:spacing w:before="120" w:after="120"/>
              <w:jc w:val="center"/>
              <w:rPr>
                <w:szCs w:val="24"/>
                <w:highlight w:val="cyan"/>
              </w:rPr>
            </w:pPr>
            <w:r w:rsidRPr="004562B8">
              <w:rPr>
                <w:szCs w:val="24"/>
                <w:highlight w:val="cyan"/>
              </w:rPr>
              <w:t>3.7</w:t>
            </w:r>
          </w:p>
        </w:tc>
        <w:tc>
          <w:tcPr>
            <w:tcW w:w="963" w:type="dxa"/>
            <w:tcBorders>
              <w:top w:val="single" w:sz="4" w:space="0" w:color="BFBFBF" w:themeColor="background1" w:themeShade="BF"/>
              <w:bottom w:val="single" w:sz="4" w:space="0" w:color="BFBFBF" w:themeColor="background1" w:themeShade="BF"/>
              <w:right w:val="single" w:sz="4" w:space="0" w:color="auto"/>
            </w:tcBorders>
            <w:vAlign w:val="center"/>
          </w:tcPr>
          <w:p w14:paraId="2494C265" w14:textId="77777777" w:rsidR="00B73A46" w:rsidRPr="004562B8" w:rsidRDefault="00B73A46" w:rsidP="00B73A46">
            <w:pPr>
              <w:spacing w:before="120" w:after="120"/>
              <w:jc w:val="center"/>
              <w:rPr>
                <w:szCs w:val="24"/>
                <w:highlight w:val="cyan"/>
              </w:rPr>
            </w:pPr>
            <w:r w:rsidRPr="004562B8">
              <w:rPr>
                <w:szCs w:val="24"/>
                <w:highlight w:val="cyan"/>
              </w:rPr>
              <w:t>3.5</w:t>
            </w:r>
          </w:p>
        </w:tc>
        <w:tc>
          <w:tcPr>
            <w:tcW w:w="927" w:type="dxa"/>
            <w:gridSpan w:val="2"/>
            <w:tcBorders>
              <w:top w:val="single" w:sz="4" w:space="0" w:color="BFBFBF" w:themeColor="background1" w:themeShade="BF"/>
              <w:left w:val="single" w:sz="4" w:space="0" w:color="auto"/>
              <w:bottom w:val="single" w:sz="4" w:space="0" w:color="BFBFBF" w:themeColor="background1" w:themeShade="BF"/>
            </w:tcBorders>
            <w:vAlign w:val="center"/>
          </w:tcPr>
          <w:p w14:paraId="79F25BED" w14:textId="77777777" w:rsidR="00B73A46" w:rsidRPr="004562B8" w:rsidRDefault="00B73A46" w:rsidP="00B73A46">
            <w:pPr>
              <w:spacing w:before="120" w:after="120"/>
              <w:jc w:val="center"/>
              <w:rPr>
                <w:szCs w:val="24"/>
                <w:highlight w:val="cyan"/>
              </w:rPr>
            </w:pPr>
            <w:r w:rsidRPr="004562B8">
              <w:rPr>
                <w:szCs w:val="24"/>
                <w:highlight w:val="cyan"/>
              </w:rPr>
              <w:t>3.3</w:t>
            </w:r>
          </w:p>
        </w:tc>
        <w:tc>
          <w:tcPr>
            <w:tcW w:w="720" w:type="dxa"/>
            <w:tcBorders>
              <w:top w:val="single" w:sz="4" w:space="0" w:color="BFBFBF" w:themeColor="background1" w:themeShade="BF"/>
              <w:bottom w:val="single" w:sz="4" w:space="0" w:color="BFBFBF" w:themeColor="background1" w:themeShade="BF"/>
              <w:right w:val="single" w:sz="4" w:space="0" w:color="auto"/>
            </w:tcBorders>
            <w:vAlign w:val="center"/>
          </w:tcPr>
          <w:p w14:paraId="61BD9EFD" w14:textId="77777777" w:rsidR="00B73A46" w:rsidRPr="004562B8" w:rsidRDefault="00B73A46" w:rsidP="00B73A46">
            <w:pPr>
              <w:spacing w:before="120" w:after="120"/>
              <w:jc w:val="center"/>
              <w:rPr>
                <w:szCs w:val="24"/>
                <w:highlight w:val="cyan"/>
              </w:rPr>
            </w:pPr>
            <w:r w:rsidRPr="004562B8">
              <w:rPr>
                <w:szCs w:val="24"/>
                <w:highlight w:val="cyan"/>
              </w:rPr>
              <w:t>3.2</w:t>
            </w:r>
          </w:p>
        </w:tc>
        <w:tc>
          <w:tcPr>
            <w:tcW w:w="900" w:type="dxa"/>
            <w:gridSpan w:val="2"/>
            <w:tcBorders>
              <w:top w:val="single" w:sz="4" w:space="0" w:color="BFBFBF" w:themeColor="background1" w:themeShade="BF"/>
              <w:left w:val="single" w:sz="4" w:space="0" w:color="auto"/>
              <w:bottom w:val="single" w:sz="4" w:space="0" w:color="BFBFBF" w:themeColor="background1" w:themeShade="BF"/>
            </w:tcBorders>
            <w:vAlign w:val="center"/>
          </w:tcPr>
          <w:p w14:paraId="42892E8B" w14:textId="77777777" w:rsidR="00B73A46" w:rsidRPr="004562B8" w:rsidRDefault="00B73A46" w:rsidP="00B73A46">
            <w:pPr>
              <w:spacing w:before="120" w:after="120"/>
              <w:jc w:val="center"/>
              <w:rPr>
                <w:szCs w:val="24"/>
                <w:highlight w:val="cyan"/>
              </w:rPr>
            </w:pPr>
            <w:r w:rsidRPr="004562B8">
              <w:rPr>
                <w:szCs w:val="24"/>
                <w:highlight w:val="cyan"/>
              </w:rPr>
              <w:t>35</w:t>
            </w:r>
          </w:p>
        </w:tc>
        <w:tc>
          <w:tcPr>
            <w:tcW w:w="810" w:type="dxa"/>
            <w:tcBorders>
              <w:top w:val="single" w:sz="4" w:space="0" w:color="BFBFBF" w:themeColor="background1" w:themeShade="BF"/>
              <w:bottom w:val="single" w:sz="4" w:space="0" w:color="BFBFBF" w:themeColor="background1" w:themeShade="BF"/>
            </w:tcBorders>
            <w:vAlign w:val="center"/>
          </w:tcPr>
          <w:p w14:paraId="23CB7426" w14:textId="77777777" w:rsidR="00B73A46" w:rsidRPr="004562B8" w:rsidRDefault="00B73A46" w:rsidP="00B73A46">
            <w:pPr>
              <w:spacing w:before="120" w:after="120"/>
              <w:jc w:val="center"/>
              <w:rPr>
                <w:szCs w:val="24"/>
                <w:highlight w:val="cyan"/>
              </w:rPr>
            </w:pPr>
            <w:r w:rsidRPr="004562B8">
              <w:rPr>
                <w:szCs w:val="24"/>
                <w:highlight w:val="cyan"/>
              </w:rPr>
              <w:t>9</w:t>
            </w:r>
          </w:p>
        </w:tc>
      </w:tr>
      <w:tr w:rsidR="00B73A46" w14:paraId="33A93B2F" w14:textId="77777777" w:rsidTr="00B73A46">
        <w:tc>
          <w:tcPr>
            <w:tcW w:w="4216" w:type="dxa"/>
            <w:tcBorders>
              <w:top w:val="single" w:sz="4" w:space="0" w:color="BFBFBF" w:themeColor="background1" w:themeShade="BF"/>
              <w:bottom w:val="single" w:sz="4" w:space="0" w:color="BFBFBF" w:themeColor="background1" w:themeShade="BF"/>
              <w:right w:val="single" w:sz="4" w:space="0" w:color="auto"/>
            </w:tcBorders>
          </w:tcPr>
          <w:p w14:paraId="07CD1955" w14:textId="77777777" w:rsidR="00B73A46" w:rsidRPr="004562B8" w:rsidRDefault="00B73A46" w:rsidP="00B73A46">
            <w:pPr>
              <w:spacing w:before="120" w:after="120"/>
              <w:rPr>
                <w:szCs w:val="24"/>
                <w:highlight w:val="cyan"/>
              </w:rPr>
            </w:pPr>
            <w:r w:rsidRPr="004562B8">
              <w:rPr>
                <w:szCs w:val="24"/>
                <w:highlight w:val="cyan"/>
              </w:rPr>
              <w:t>S Fancher Rd and E Sprague Ave</w:t>
            </w:r>
          </w:p>
        </w:tc>
        <w:tc>
          <w:tcPr>
            <w:tcW w:w="914" w:type="dxa"/>
            <w:tcBorders>
              <w:top w:val="single" w:sz="4" w:space="0" w:color="BFBFBF" w:themeColor="background1" w:themeShade="BF"/>
              <w:left w:val="single" w:sz="4" w:space="0" w:color="auto"/>
              <w:bottom w:val="single" w:sz="4" w:space="0" w:color="BFBFBF" w:themeColor="background1" w:themeShade="BF"/>
            </w:tcBorders>
            <w:vAlign w:val="center"/>
          </w:tcPr>
          <w:p w14:paraId="62517C10" w14:textId="77777777" w:rsidR="00B73A46" w:rsidRPr="004562B8" w:rsidRDefault="00B73A46" w:rsidP="00B73A46">
            <w:pPr>
              <w:spacing w:before="120" w:after="120"/>
              <w:jc w:val="center"/>
              <w:rPr>
                <w:szCs w:val="24"/>
                <w:highlight w:val="cyan"/>
              </w:rPr>
            </w:pPr>
            <w:r w:rsidRPr="004562B8">
              <w:rPr>
                <w:szCs w:val="24"/>
                <w:highlight w:val="cyan"/>
              </w:rPr>
              <w:t>3.6</w:t>
            </w:r>
          </w:p>
        </w:tc>
        <w:tc>
          <w:tcPr>
            <w:tcW w:w="963" w:type="dxa"/>
            <w:tcBorders>
              <w:top w:val="single" w:sz="4" w:space="0" w:color="BFBFBF" w:themeColor="background1" w:themeShade="BF"/>
              <w:bottom w:val="single" w:sz="4" w:space="0" w:color="BFBFBF" w:themeColor="background1" w:themeShade="BF"/>
              <w:right w:val="single" w:sz="4" w:space="0" w:color="auto"/>
            </w:tcBorders>
            <w:vAlign w:val="center"/>
          </w:tcPr>
          <w:p w14:paraId="6B1155C4" w14:textId="77777777" w:rsidR="00B73A46" w:rsidRPr="004562B8" w:rsidRDefault="00B73A46" w:rsidP="00B73A46">
            <w:pPr>
              <w:spacing w:before="120" w:after="120"/>
              <w:jc w:val="center"/>
              <w:rPr>
                <w:szCs w:val="24"/>
                <w:highlight w:val="cyan"/>
              </w:rPr>
            </w:pPr>
            <w:r w:rsidRPr="004562B8">
              <w:rPr>
                <w:szCs w:val="24"/>
                <w:highlight w:val="cyan"/>
              </w:rPr>
              <w:t>3.4</w:t>
            </w:r>
          </w:p>
        </w:tc>
        <w:tc>
          <w:tcPr>
            <w:tcW w:w="927" w:type="dxa"/>
            <w:gridSpan w:val="2"/>
            <w:tcBorders>
              <w:top w:val="single" w:sz="4" w:space="0" w:color="BFBFBF" w:themeColor="background1" w:themeShade="BF"/>
              <w:left w:val="single" w:sz="4" w:space="0" w:color="auto"/>
              <w:bottom w:val="single" w:sz="4" w:space="0" w:color="BFBFBF" w:themeColor="background1" w:themeShade="BF"/>
            </w:tcBorders>
            <w:vAlign w:val="center"/>
          </w:tcPr>
          <w:p w14:paraId="131425E2" w14:textId="77777777" w:rsidR="00B73A46" w:rsidRPr="004562B8" w:rsidRDefault="00B73A46" w:rsidP="00B73A46">
            <w:pPr>
              <w:spacing w:before="120" w:after="120"/>
              <w:jc w:val="center"/>
              <w:rPr>
                <w:szCs w:val="24"/>
                <w:highlight w:val="cyan"/>
              </w:rPr>
            </w:pPr>
            <w:r w:rsidRPr="004562B8">
              <w:rPr>
                <w:szCs w:val="24"/>
                <w:highlight w:val="cyan"/>
              </w:rPr>
              <w:t>3.2</w:t>
            </w:r>
          </w:p>
        </w:tc>
        <w:tc>
          <w:tcPr>
            <w:tcW w:w="720" w:type="dxa"/>
            <w:tcBorders>
              <w:top w:val="single" w:sz="4" w:space="0" w:color="BFBFBF" w:themeColor="background1" w:themeShade="BF"/>
              <w:bottom w:val="single" w:sz="4" w:space="0" w:color="BFBFBF" w:themeColor="background1" w:themeShade="BF"/>
              <w:right w:val="single" w:sz="4" w:space="0" w:color="auto"/>
            </w:tcBorders>
            <w:vAlign w:val="center"/>
          </w:tcPr>
          <w:p w14:paraId="06FE1550" w14:textId="77777777" w:rsidR="00B73A46" w:rsidRPr="004562B8" w:rsidRDefault="00B73A46" w:rsidP="00B73A46">
            <w:pPr>
              <w:spacing w:before="120" w:after="120"/>
              <w:jc w:val="center"/>
              <w:rPr>
                <w:szCs w:val="24"/>
                <w:highlight w:val="cyan"/>
              </w:rPr>
            </w:pPr>
            <w:r w:rsidRPr="004562B8">
              <w:rPr>
                <w:szCs w:val="24"/>
                <w:highlight w:val="cyan"/>
              </w:rPr>
              <w:t>3.1</w:t>
            </w:r>
          </w:p>
        </w:tc>
        <w:tc>
          <w:tcPr>
            <w:tcW w:w="900" w:type="dxa"/>
            <w:gridSpan w:val="2"/>
            <w:tcBorders>
              <w:top w:val="single" w:sz="4" w:space="0" w:color="BFBFBF" w:themeColor="background1" w:themeShade="BF"/>
              <w:left w:val="single" w:sz="4" w:space="0" w:color="auto"/>
              <w:bottom w:val="single" w:sz="4" w:space="0" w:color="BFBFBF" w:themeColor="background1" w:themeShade="BF"/>
            </w:tcBorders>
            <w:vAlign w:val="center"/>
          </w:tcPr>
          <w:p w14:paraId="5C84591B" w14:textId="77777777" w:rsidR="00B73A46" w:rsidRPr="004562B8" w:rsidRDefault="00B73A46" w:rsidP="00B73A46">
            <w:pPr>
              <w:spacing w:before="120" w:after="120"/>
              <w:jc w:val="center"/>
              <w:rPr>
                <w:szCs w:val="24"/>
                <w:highlight w:val="cyan"/>
              </w:rPr>
            </w:pPr>
            <w:r w:rsidRPr="004562B8">
              <w:rPr>
                <w:szCs w:val="24"/>
                <w:highlight w:val="cyan"/>
              </w:rPr>
              <w:t>35</w:t>
            </w:r>
          </w:p>
        </w:tc>
        <w:tc>
          <w:tcPr>
            <w:tcW w:w="810" w:type="dxa"/>
            <w:tcBorders>
              <w:top w:val="single" w:sz="4" w:space="0" w:color="BFBFBF" w:themeColor="background1" w:themeShade="BF"/>
              <w:bottom w:val="single" w:sz="4" w:space="0" w:color="BFBFBF" w:themeColor="background1" w:themeShade="BF"/>
            </w:tcBorders>
            <w:vAlign w:val="center"/>
          </w:tcPr>
          <w:p w14:paraId="5C5B3FBE" w14:textId="77777777" w:rsidR="00B73A46" w:rsidRPr="004562B8" w:rsidRDefault="00B73A46" w:rsidP="00B73A46">
            <w:pPr>
              <w:spacing w:before="120" w:after="120"/>
              <w:jc w:val="center"/>
              <w:rPr>
                <w:szCs w:val="24"/>
                <w:highlight w:val="cyan"/>
              </w:rPr>
            </w:pPr>
            <w:r w:rsidRPr="004562B8">
              <w:rPr>
                <w:szCs w:val="24"/>
                <w:highlight w:val="cyan"/>
              </w:rPr>
              <w:t>9</w:t>
            </w:r>
          </w:p>
        </w:tc>
      </w:tr>
      <w:tr w:rsidR="00B73A46" w14:paraId="6F80D821" w14:textId="77777777" w:rsidTr="00B73A46">
        <w:tc>
          <w:tcPr>
            <w:tcW w:w="4216" w:type="dxa"/>
            <w:tcBorders>
              <w:top w:val="single" w:sz="4" w:space="0" w:color="BFBFBF" w:themeColor="background1" w:themeShade="BF"/>
              <w:bottom w:val="single" w:sz="4" w:space="0" w:color="BFBFBF" w:themeColor="background1" w:themeShade="BF"/>
              <w:right w:val="single" w:sz="4" w:space="0" w:color="auto"/>
            </w:tcBorders>
          </w:tcPr>
          <w:p w14:paraId="7E5047C5" w14:textId="77777777" w:rsidR="00B73A46" w:rsidRPr="004562B8" w:rsidRDefault="00B73A46" w:rsidP="00B73A46">
            <w:pPr>
              <w:spacing w:before="120" w:after="120"/>
              <w:rPr>
                <w:szCs w:val="24"/>
                <w:highlight w:val="cyan"/>
              </w:rPr>
            </w:pPr>
            <w:r w:rsidRPr="004562B8">
              <w:rPr>
                <w:szCs w:val="24"/>
                <w:highlight w:val="cyan"/>
              </w:rPr>
              <w:t>N Thierman Rd and E Broadway Ave</w:t>
            </w:r>
          </w:p>
        </w:tc>
        <w:tc>
          <w:tcPr>
            <w:tcW w:w="914" w:type="dxa"/>
            <w:tcBorders>
              <w:top w:val="single" w:sz="4" w:space="0" w:color="BFBFBF" w:themeColor="background1" w:themeShade="BF"/>
              <w:left w:val="single" w:sz="4" w:space="0" w:color="auto"/>
              <w:bottom w:val="single" w:sz="4" w:space="0" w:color="BFBFBF" w:themeColor="background1" w:themeShade="BF"/>
            </w:tcBorders>
            <w:vAlign w:val="center"/>
          </w:tcPr>
          <w:p w14:paraId="68DE5EA1" w14:textId="77777777" w:rsidR="00B73A46" w:rsidRPr="004562B8" w:rsidRDefault="00B73A46" w:rsidP="00B73A46">
            <w:pPr>
              <w:spacing w:before="120" w:after="120"/>
              <w:jc w:val="center"/>
              <w:rPr>
                <w:szCs w:val="24"/>
                <w:highlight w:val="cyan"/>
              </w:rPr>
            </w:pPr>
            <w:r w:rsidRPr="004562B8">
              <w:rPr>
                <w:szCs w:val="24"/>
                <w:highlight w:val="cyan"/>
              </w:rPr>
              <w:t>3.4</w:t>
            </w:r>
          </w:p>
        </w:tc>
        <w:tc>
          <w:tcPr>
            <w:tcW w:w="963" w:type="dxa"/>
            <w:tcBorders>
              <w:top w:val="single" w:sz="4" w:space="0" w:color="BFBFBF" w:themeColor="background1" w:themeShade="BF"/>
              <w:bottom w:val="single" w:sz="4" w:space="0" w:color="BFBFBF" w:themeColor="background1" w:themeShade="BF"/>
              <w:right w:val="single" w:sz="4" w:space="0" w:color="auto"/>
            </w:tcBorders>
            <w:vAlign w:val="center"/>
          </w:tcPr>
          <w:p w14:paraId="35E12F50" w14:textId="77777777" w:rsidR="00B73A46" w:rsidRPr="004562B8" w:rsidRDefault="00B73A46" w:rsidP="00B73A46">
            <w:pPr>
              <w:spacing w:before="120" w:after="120"/>
              <w:jc w:val="center"/>
              <w:rPr>
                <w:szCs w:val="24"/>
                <w:highlight w:val="cyan"/>
              </w:rPr>
            </w:pPr>
            <w:r w:rsidRPr="004562B8">
              <w:rPr>
                <w:szCs w:val="24"/>
                <w:highlight w:val="cyan"/>
              </w:rPr>
              <w:t>3.3</w:t>
            </w:r>
          </w:p>
        </w:tc>
        <w:tc>
          <w:tcPr>
            <w:tcW w:w="927" w:type="dxa"/>
            <w:gridSpan w:val="2"/>
            <w:tcBorders>
              <w:top w:val="single" w:sz="4" w:space="0" w:color="BFBFBF" w:themeColor="background1" w:themeShade="BF"/>
              <w:left w:val="single" w:sz="4" w:space="0" w:color="auto"/>
              <w:bottom w:val="single" w:sz="4" w:space="0" w:color="BFBFBF" w:themeColor="background1" w:themeShade="BF"/>
            </w:tcBorders>
            <w:vAlign w:val="center"/>
          </w:tcPr>
          <w:p w14:paraId="1AE0EE53" w14:textId="77777777" w:rsidR="00B73A46" w:rsidRPr="004562B8" w:rsidRDefault="00B73A46" w:rsidP="00B73A46">
            <w:pPr>
              <w:spacing w:before="120" w:after="120"/>
              <w:jc w:val="center"/>
              <w:rPr>
                <w:szCs w:val="24"/>
                <w:highlight w:val="cyan"/>
              </w:rPr>
            </w:pPr>
            <w:r w:rsidRPr="004562B8">
              <w:rPr>
                <w:szCs w:val="24"/>
                <w:highlight w:val="cyan"/>
              </w:rPr>
              <w:t>3.2</w:t>
            </w:r>
          </w:p>
        </w:tc>
        <w:tc>
          <w:tcPr>
            <w:tcW w:w="720" w:type="dxa"/>
            <w:tcBorders>
              <w:top w:val="single" w:sz="4" w:space="0" w:color="BFBFBF" w:themeColor="background1" w:themeShade="BF"/>
              <w:bottom w:val="single" w:sz="4" w:space="0" w:color="BFBFBF" w:themeColor="background1" w:themeShade="BF"/>
              <w:right w:val="single" w:sz="4" w:space="0" w:color="auto"/>
            </w:tcBorders>
            <w:vAlign w:val="center"/>
          </w:tcPr>
          <w:p w14:paraId="4223ACF6" w14:textId="77777777" w:rsidR="00B73A46" w:rsidRPr="004562B8" w:rsidRDefault="00B73A46" w:rsidP="00B73A46">
            <w:pPr>
              <w:spacing w:before="120" w:after="120"/>
              <w:jc w:val="center"/>
              <w:rPr>
                <w:szCs w:val="24"/>
                <w:highlight w:val="cyan"/>
              </w:rPr>
            </w:pPr>
            <w:r w:rsidRPr="004562B8">
              <w:rPr>
                <w:szCs w:val="24"/>
                <w:highlight w:val="cyan"/>
              </w:rPr>
              <w:t>3.1</w:t>
            </w:r>
          </w:p>
        </w:tc>
        <w:tc>
          <w:tcPr>
            <w:tcW w:w="900" w:type="dxa"/>
            <w:gridSpan w:val="2"/>
            <w:tcBorders>
              <w:top w:val="single" w:sz="4" w:space="0" w:color="BFBFBF" w:themeColor="background1" w:themeShade="BF"/>
              <w:left w:val="single" w:sz="4" w:space="0" w:color="auto"/>
              <w:bottom w:val="single" w:sz="4" w:space="0" w:color="BFBFBF" w:themeColor="background1" w:themeShade="BF"/>
            </w:tcBorders>
            <w:vAlign w:val="center"/>
          </w:tcPr>
          <w:p w14:paraId="6DAF25CB" w14:textId="77777777" w:rsidR="00B73A46" w:rsidRPr="004562B8" w:rsidRDefault="00B73A46" w:rsidP="00B73A46">
            <w:pPr>
              <w:spacing w:before="120" w:after="120"/>
              <w:jc w:val="center"/>
              <w:rPr>
                <w:szCs w:val="24"/>
                <w:highlight w:val="cyan"/>
              </w:rPr>
            </w:pPr>
            <w:r w:rsidRPr="004562B8">
              <w:rPr>
                <w:szCs w:val="24"/>
                <w:highlight w:val="cyan"/>
              </w:rPr>
              <w:t>35</w:t>
            </w:r>
          </w:p>
        </w:tc>
        <w:tc>
          <w:tcPr>
            <w:tcW w:w="810" w:type="dxa"/>
            <w:tcBorders>
              <w:top w:val="single" w:sz="4" w:space="0" w:color="BFBFBF" w:themeColor="background1" w:themeShade="BF"/>
              <w:bottom w:val="single" w:sz="4" w:space="0" w:color="BFBFBF" w:themeColor="background1" w:themeShade="BF"/>
            </w:tcBorders>
            <w:vAlign w:val="center"/>
          </w:tcPr>
          <w:p w14:paraId="7349C113" w14:textId="77777777" w:rsidR="00B73A46" w:rsidRPr="004562B8" w:rsidRDefault="00B73A46" w:rsidP="00B73A46">
            <w:pPr>
              <w:spacing w:before="120" w:after="120"/>
              <w:jc w:val="center"/>
              <w:rPr>
                <w:szCs w:val="24"/>
                <w:highlight w:val="cyan"/>
              </w:rPr>
            </w:pPr>
            <w:r w:rsidRPr="004562B8">
              <w:rPr>
                <w:szCs w:val="24"/>
                <w:highlight w:val="cyan"/>
              </w:rPr>
              <w:t>9</w:t>
            </w:r>
          </w:p>
        </w:tc>
      </w:tr>
      <w:tr w:rsidR="00B73A46" w14:paraId="50FB33DF" w14:textId="77777777" w:rsidTr="00B73A46">
        <w:tc>
          <w:tcPr>
            <w:tcW w:w="4216" w:type="dxa"/>
            <w:tcBorders>
              <w:top w:val="single" w:sz="4" w:space="0" w:color="BFBFBF" w:themeColor="background1" w:themeShade="BF"/>
              <w:bottom w:val="single" w:sz="4" w:space="0" w:color="BFBFBF" w:themeColor="background1" w:themeShade="BF"/>
              <w:right w:val="single" w:sz="4" w:space="0" w:color="auto"/>
            </w:tcBorders>
          </w:tcPr>
          <w:p w14:paraId="3CF06F49" w14:textId="77777777" w:rsidR="00B73A46" w:rsidRPr="004562B8" w:rsidRDefault="00B73A46" w:rsidP="00B73A46">
            <w:pPr>
              <w:spacing w:before="120" w:after="120"/>
              <w:rPr>
                <w:szCs w:val="24"/>
                <w:highlight w:val="cyan"/>
              </w:rPr>
            </w:pPr>
            <w:r w:rsidRPr="004562B8">
              <w:rPr>
                <w:szCs w:val="24"/>
                <w:highlight w:val="cyan"/>
              </w:rPr>
              <w:t>I-90 WB Ramps and E Broadway Ave</w:t>
            </w:r>
          </w:p>
        </w:tc>
        <w:tc>
          <w:tcPr>
            <w:tcW w:w="914" w:type="dxa"/>
            <w:tcBorders>
              <w:top w:val="single" w:sz="4" w:space="0" w:color="BFBFBF" w:themeColor="background1" w:themeShade="BF"/>
              <w:left w:val="single" w:sz="4" w:space="0" w:color="auto"/>
              <w:bottom w:val="single" w:sz="4" w:space="0" w:color="BFBFBF" w:themeColor="background1" w:themeShade="BF"/>
            </w:tcBorders>
            <w:vAlign w:val="center"/>
          </w:tcPr>
          <w:p w14:paraId="6EEA22C0" w14:textId="77777777" w:rsidR="00B73A46" w:rsidRPr="004562B8" w:rsidRDefault="00B73A46" w:rsidP="00B73A46">
            <w:pPr>
              <w:spacing w:before="120" w:after="120"/>
              <w:jc w:val="center"/>
              <w:rPr>
                <w:szCs w:val="24"/>
                <w:highlight w:val="cyan"/>
              </w:rPr>
            </w:pPr>
            <w:r w:rsidRPr="004562B8">
              <w:rPr>
                <w:szCs w:val="24"/>
                <w:highlight w:val="cyan"/>
              </w:rPr>
              <w:t>3.4</w:t>
            </w:r>
          </w:p>
        </w:tc>
        <w:tc>
          <w:tcPr>
            <w:tcW w:w="963" w:type="dxa"/>
            <w:tcBorders>
              <w:top w:val="single" w:sz="4" w:space="0" w:color="BFBFBF" w:themeColor="background1" w:themeShade="BF"/>
              <w:bottom w:val="single" w:sz="4" w:space="0" w:color="BFBFBF" w:themeColor="background1" w:themeShade="BF"/>
              <w:right w:val="single" w:sz="4" w:space="0" w:color="auto"/>
            </w:tcBorders>
            <w:vAlign w:val="center"/>
          </w:tcPr>
          <w:p w14:paraId="27441AC9" w14:textId="77777777" w:rsidR="00B73A46" w:rsidRPr="004562B8" w:rsidRDefault="00B73A46" w:rsidP="00B73A46">
            <w:pPr>
              <w:spacing w:before="120" w:after="120"/>
              <w:jc w:val="center"/>
              <w:rPr>
                <w:szCs w:val="24"/>
                <w:highlight w:val="cyan"/>
              </w:rPr>
            </w:pPr>
            <w:r w:rsidRPr="004562B8">
              <w:rPr>
                <w:szCs w:val="24"/>
                <w:highlight w:val="cyan"/>
              </w:rPr>
              <w:t>3.3</w:t>
            </w:r>
          </w:p>
        </w:tc>
        <w:tc>
          <w:tcPr>
            <w:tcW w:w="927" w:type="dxa"/>
            <w:gridSpan w:val="2"/>
            <w:tcBorders>
              <w:top w:val="single" w:sz="4" w:space="0" w:color="BFBFBF" w:themeColor="background1" w:themeShade="BF"/>
              <w:left w:val="single" w:sz="4" w:space="0" w:color="auto"/>
              <w:bottom w:val="single" w:sz="4" w:space="0" w:color="BFBFBF" w:themeColor="background1" w:themeShade="BF"/>
            </w:tcBorders>
            <w:vAlign w:val="center"/>
          </w:tcPr>
          <w:p w14:paraId="7AC44E62" w14:textId="77777777" w:rsidR="00B73A46" w:rsidRPr="004562B8" w:rsidRDefault="00B73A46" w:rsidP="00B73A46">
            <w:pPr>
              <w:spacing w:before="120" w:after="120"/>
              <w:jc w:val="center"/>
              <w:rPr>
                <w:szCs w:val="24"/>
                <w:highlight w:val="cyan"/>
              </w:rPr>
            </w:pPr>
            <w:r w:rsidRPr="004562B8">
              <w:rPr>
                <w:szCs w:val="24"/>
                <w:highlight w:val="cyan"/>
              </w:rPr>
              <w:t>3.1</w:t>
            </w:r>
          </w:p>
        </w:tc>
        <w:tc>
          <w:tcPr>
            <w:tcW w:w="720" w:type="dxa"/>
            <w:tcBorders>
              <w:top w:val="single" w:sz="4" w:space="0" w:color="BFBFBF" w:themeColor="background1" w:themeShade="BF"/>
              <w:bottom w:val="single" w:sz="4" w:space="0" w:color="BFBFBF" w:themeColor="background1" w:themeShade="BF"/>
              <w:right w:val="single" w:sz="4" w:space="0" w:color="auto"/>
            </w:tcBorders>
            <w:vAlign w:val="center"/>
          </w:tcPr>
          <w:p w14:paraId="57FFFCBD" w14:textId="77777777" w:rsidR="00B73A46" w:rsidRPr="004562B8" w:rsidRDefault="00B73A46" w:rsidP="00B73A46">
            <w:pPr>
              <w:spacing w:before="120" w:after="120"/>
              <w:jc w:val="center"/>
              <w:rPr>
                <w:szCs w:val="24"/>
                <w:highlight w:val="cyan"/>
              </w:rPr>
            </w:pPr>
            <w:r w:rsidRPr="004562B8">
              <w:rPr>
                <w:szCs w:val="24"/>
                <w:highlight w:val="cyan"/>
              </w:rPr>
              <w:t>3.1</w:t>
            </w:r>
          </w:p>
        </w:tc>
        <w:tc>
          <w:tcPr>
            <w:tcW w:w="900" w:type="dxa"/>
            <w:gridSpan w:val="2"/>
            <w:tcBorders>
              <w:top w:val="single" w:sz="4" w:space="0" w:color="BFBFBF" w:themeColor="background1" w:themeShade="BF"/>
              <w:left w:val="single" w:sz="4" w:space="0" w:color="auto"/>
              <w:bottom w:val="single" w:sz="4" w:space="0" w:color="BFBFBF" w:themeColor="background1" w:themeShade="BF"/>
            </w:tcBorders>
            <w:vAlign w:val="center"/>
          </w:tcPr>
          <w:p w14:paraId="128FB14F" w14:textId="77777777" w:rsidR="00B73A46" w:rsidRPr="004562B8" w:rsidRDefault="00B73A46" w:rsidP="00B73A46">
            <w:pPr>
              <w:spacing w:before="120" w:after="120"/>
              <w:jc w:val="center"/>
              <w:rPr>
                <w:szCs w:val="24"/>
                <w:highlight w:val="cyan"/>
              </w:rPr>
            </w:pPr>
            <w:r w:rsidRPr="004562B8">
              <w:rPr>
                <w:szCs w:val="24"/>
                <w:highlight w:val="cyan"/>
              </w:rPr>
              <w:t>35</w:t>
            </w:r>
          </w:p>
        </w:tc>
        <w:tc>
          <w:tcPr>
            <w:tcW w:w="810" w:type="dxa"/>
            <w:tcBorders>
              <w:top w:val="single" w:sz="4" w:space="0" w:color="BFBFBF" w:themeColor="background1" w:themeShade="BF"/>
              <w:bottom w:val="single" w:sz="4" w:space="0" w:color="BFBFBF" w:themeColor="background1" w:themeShade="BF"/>
            </w:tcBorders>
            <w:vAlign w:val="center"/>
          </w:tcPr>
          <w:p w14:paraId="2D91E497" w14:textId="77777777" w:rsidR="00B73A46" w:rsidRPr="004562B8" w:rsidRDefault="00B73A46" w:rsidP="00B73A46">
            <w:pPr>
              <w:spacing w:before="120" w:after="120"/>
              <w:jc w:val="center"/>
              <w:rPr>
                <w:szCs w:val="24"/>
                <w:highlight w:val="cyan"/>
              </w:rPr>
            </w:pPr>
            <w:r w:rsidRPr="004562B8">
              <w:rPr>
                <w:szCs w:val="24"/>
                <w:highlight w:val="cyan"/>
              </w:rPr>
              <w:t>9</w:t>
            </w:r>
          </w:p>
        </w:tc>
      </w:tr>
      <w:tr w:rsidR="00B73A46" w14:paraId="28449945" w14:textId="77777777" w:rsidTr="00B73A46">
        <w:tc>
          <w:tcPr>
            <w:tcW w:w="4216" w:type="dxa"/>
            <w:tcBorders>
              <w:top w:val="single" w:sz="4" w:space="0" w:color="BFBFBF" w:themeColor="background1" w:themeShade="BF"/>
              <w:bottom w:val="single" w:sz="4" w:space="0" w:color="auto"/>
              <w:right w:val="single" w:sz="4" w:space="0" w:color="auto"/>
            </w:tcBorders>
          </w:tcPr>
          <w:p w14:paraId="5001C2A2" w14:textId="77777777" w:rsidR="00B73A46" w:rsidRPr="004562B8" w:rsidRDefault="00B73A46" w:rsidP="00B73A46">
            <w:pPr>
              <w:spacing w:before="120" w:after="120"/>
              <w:rPr>
                <w:szCs w:val="24"/>
                <w:highlight w:val="cyan"/>
              </w:rPr>
            </w:pPr>
            <w:r w:rsidRPr="004562B8">
              <w:rPr>
                <w:szCs w:val="24"/>
                <w:highlight w:val="cyan"/>
              </w:rPr>
              <w:t>S Thierman Rd and E Appleway Blvd</w:t>
            </w:r>
          </w:p>
        </w:tc>
        <w:tc>
          <w:tcPr>
            <w:tcW w:w="914" w:type="dxa"/>
            <w:tcBorders>
              <w:top w:val="single" w:sz="4" w:space="0" w:color="BFBFBF" w:themeColor="background1" w:themeShade="BF"/>
              <w:left w:val="single" w:sz="4" w:space="0" w:color="auto"/>
              <w:bottom w:val="single" w:sz="4" w:space="0" w:color="auto"/>
            </w:tcBorders>
            <w:vAlign w:val="center"/>
          </w:tcPr>
          <w:p w14:paraId="6E94ABC6" w14:textId="77777777" w:rsidR="00B73A46" w:rsidRPr="004562B8" w:rsidRDefault="00B73A46" w:rsidP="00B73A46">
            <w:pPr>
              <w:spacing w:before="120" w:after="120"/>
              <w:jc w:val="center"/>
              <w:rPr>
                <w:szCs w:val="24"/>
                <w:highlight w:val="cyan"/>
              </w:rPr>
            </w:pPr>
            <w:r w:rsidRPr="004562B8">
              <w:rPr>
                <w:szCs w:val="24"/>
                <w:highlight w:val="cyan"/>
              </w:rPr>
              <w:t>3.8</w:t>
            </w:r>
          </w:p>
        </w:tc>
        <w:tc>
          <w:tcPr>
            <w:tcW w:w="963" w:type="dxa"/>
            <w:tcBorders>
              <w:top w:val="single" w:sz="4" w:space="0" w:color="BFBFBF" w:themeColor="background1" w:themeShade="BF"/>
              <w:bottom w:val="single" w:sz="4" w:space="0" w:color="auto"/>
              <w:right w:val="single" w:sz="4" w:space="0" w:color="auto"/>
            </w:tcBorders>
            <w:vAlign w:val="center"/>
          </w:tcPr>
          <w:p w14:paraId="588EAC7C" w14:textId="77777777" w:rsidR="00B73A46" w:rsidRPr="004562B8" w:rsidRDefault="00B73A46" w:rsidP="00B73A46">
            <w:pPr>
              <w:spacing w:before="120" w:after="120"/>
              <w:jc w:val="center"/>
              <w:rPr>
                <w:szCs w:val="24"/>
                <w:highlight w:val="cyan"/>
              </w:rPr>
            </w:pPr>
            <w:r w:rsidRPr="004562B8">
              <w:rPr>
                <w:szCs w:val="24"/>
                <w:highlight w:val="cyan"/>
              </w:rPr>
              <w:t>3.6</w:t>
            </w:r>
          </w:p>
        </w:tc>
        <w:tc>
          <w:tcPr>
            <w:tcW w:w="927" w:type="dxa"/>
            <w:gridSpan w:val="2"/>
            <w:tcBorders>
              <w:top w:val="single" w:sz="4" w:space="0" w:color="BFBFBF" w:themeColor="background1" w:themeShade="BF"/>
              <w:left w:val="single" w:sz="4" w:space="0" w:color="auto"/>
              <w:bottom w:val="single" w:sz="4" w:space="0" w:color="auto"/>
            </w:tcBorders>
            <w:vAlign w:val="center"/>
          </w:tcPr>
          <w:p w14:paraId="747BFE11" w14:textId="77777777" w:rsidR="00B73A46" w:rsidRPr="004562B8" w:rsidRDefault="00B73A46" w:rsidP="00B73A46">
            <w:pPr>
              <w:spacing w:before="120" w:after="120"/>
              <w:jc w:val="center"/>
              <w:rPr>
                <w:szCs w:val="24"/>
                <w:highlight w:val="cyan"/>
              </w:rPr>
            </w:pPr>
            <w:r w:rsidRPr="004562B8">
              <w:rPr>
                <w:szCs w:val="24"/>
                <w:highlight w:val="cyan"/>
              </w:rPr>
              <w:t>3.4</w:t>
            </w:r>
          </w:p>
        </w:tc>
        <w:tc>
          <w:tcPr>
            <w:tcW w:w="720" w:type="dxa"/>
            <w:tcBorders>
              <w:top w:val="single" w:sz="4" w:space="0" w:color="BFBFBF" w:themeColor="background1" w:themeShade="BF"/>
              <w:bottom w:val="single" w:sz="4" w:space="0" w:color="auto"/>
              <w:right w:val="single" w:sz="4" w:space="0" w:color="auto"/>
            </w:tcBorders>
            <w:vAlign w:val="center"/>
          </w:tcPr>
          <w:p w14:paraId="53CEB707" w14:textId="77777777" w:rsidR="00B73A46" w:rsidRPr="004562B8" w:rsidRDefault="00B73A46" w:rsidP="00B73A46">
            <w:pPr>
              <w:spacing w:before="120" w:after="120"/>
              <w:jc w:val="center"/>
              <w:rPr>
                <w:szCs w:val="24"/>
                <w:highlight w:val="cyan"/>
              </w:rPr>
            </w:pPr>
            <w:r w:rsidRPr="004562B8">
              <w:rPr>
                <w:szCs w:val="24"/>
                <w:highlight w:val="cyan"/>
              </w:rPr>
              <w:t>3.2</w:t>
            </w:r>
          </w:p>
        </w:tc>
        <w:tc>
          <w:tcPr>
            <w:tcW w:w="900" w:type="dxa"/>
            <w:gridSpan w:val="2"/>
            <w:tcBorders>
              <w:top w:val="single" w:sz="4" w:space="0" w:color="BFBFBF" w:themeColor="background1" w:themeShade="BF"/>
              <w:left w:val="single" w:sz="4" w:space="0" w:color="auto"/>
              <w:bottom w:val="single" w:sz="4" w:space="0" w:color="auto"/>
            </w:tcBorders>
            <w:vAlign w:val="center"/>
          </w:tcPr>
          <w:p w14:paraId="3C507444" w14:textId="77777777" w:rsidR="00B73A46" w:rsidRPr="004562B8" w:rsidRDefault="00B73A46" w:rsidP="00B73A46">
            <w:pPr>
              <w:spacing w:before="120" w:after="120"/>
              <w:jc w:val="center"/>
              <w:rPr>
                <w:szCs w:val="24"/>
                <w:highlight w:val="cyan"/>
              </w:rPr>
            </w:pPr>
            <w:r w:rsidRPr="004562B8">
              <w:rPr>
                <w:szCs w:val="24"/>
                <w:highlight w:val="cyan"/>
              </w:rPr>
              <w:t>35</w:t>
            </w:r>
          </w:p>
        </w:tc>
        <w:tc>
          <w:tcPr>
            <w:tcW w:w="810" w:type="dxa"/>
            <w:tcBorders>
              <w:top w:val="single" w:sz="4" w:space="0" w:color="BFBFBF" w:themeColor="background1" w:themeShade="BF"/>
              <w:bottom w:val="single" w:sz="4" w:space="0" w:color="auto"/>
            </w:tcBorders>
            <w:vAlign w:val="center"/>
          </w:tcPr>
          <w:p w14:paraId="75891DAE" w14:textId="77777777" w:rsidR="00B73A46" w:rsidRPr="004562B8" w:rsidRDefault="00B73A46" w:rsidP="00B73A46">
            <w:pPr>
              <w:spacing w:before="120" w:after="120"/>
              <w:jc w:val="center"/>
              <w:rPr>
                <w:szCs w:val="24"/>
                <w:highlight w:val="cyan"/>
              </w:rPr>
            </w:pPr>
            <w:r w:rsidRPr="004562B8">
              <w:rPr>
                <w:szCs w:val="24"/>
                <w:highlight w:val="cyan"/>
              </w:rPr>
              <w:t>9</w:t>
            </w:r>
          </w:p>
        </w:tc>
      </w:tr>
      <w:tr w:rsidR="00B73A46" w14:paraId="48B91E90" w14:textId="77777777" w:rsidTr="00B73A46">
        <w:tc>
          <w:tcPr>
            <w:tcW w:w="9450" w:type="dxa"/>
            <w:gridSpan w:val="9"/>
            <w:tcBorders>
              <w:top w:val="single" w:sz="4" w:space="0" w:color="BFBFBF" w:themeColor="background1" w:themeShade="BF"/>
              <w:bottom w:val="single" w:sz="12" w:space="0" w:color="auto"/>
            </w:tcBorders>
            <w:vAlign w:val="center"/>
          </w:tcPr>
          <w:p w14:paraId="6AB8A5AF" w14:textId="77777777" w:rsidR="00B73A46" w:rsidRPr="006B326A" w:rsidRDefault="00B73A46" w:rsidP="00B73A46">
            <w:pPr>
              <w:spacing w:before="120" w:after="120"/>
              <w:rPr>
                <w:i/>
                <w:szCs w:val="24"/>
              </w:rPr>
            </w:pPr>
            <w:r>
              <w:rPr>
                <w:b/>
                <w:szCs w:val="24"/>
              </w:rPr>
              <w:t>Note</w:t>
            </w:r>
            <w:r w:rsidRPr="006B326A">
              <w:rPr>
                <w:b/>
                <w:szCs w:val="24"/>
              </w:rPr>
              <w:t>:</w:t>
            </w:r>
            <w:r w:rsidRPr="006B326A">
              <w:rPr>
                <w:szCs w:val="24"/>
              </w:rPr>
              <w:t xml:space="preserve"> Displayed concentration for each intersection is the receiver with the highest modeled concentration. See Appendix </w:t>
            </w:r>
            <w:r w:rsidRPr="004562B8">
              <w:rPr>
                <w:szCs w:val="24"/>
                <w:highlight w:val="cyan"/>
              </w:rPr>
              <w:t>A</w:t>
            </w:r>
            <w:r w:rsidRPr="006B326A">
              <w:rPr>
                <w:szCs w:val="24"/>
              </w:rPr>
              <w:t xml:space="preserve"> for model output files</w:t>
            </w:r>
            <w:r w:rsidRPr="006B326A">
              <w:rPr>
                <w:i/>
                <w:szCs w:val="24"/>
              </w:rPr>
              <w:t>.</w:t>
            </w:r>
          </w:p>
        </w:tc>
      </w:tr>
    </w:tbl>
    <w:p w14:paraId="00D65B0D" w14:textId="77777777" w:rsidR="00B73A46" w:rsidRPr="00804458" w:rsidRDefault="00B73A46" w:rsidP="00B73A46"/>
    <w:p w14:paraId="3A6FA1F1" w14:textId="77777777" w:rsidR="00B73A46" w:rsidRPr="00EF1F04" w:rsidRDefault="00B73A46" w:rsidP="00B73A46">
      <w:pPr>
        <w:rPr>
          <w:b/>
          <w:i/>
          <w:color w:val="FF0000"/>
        </w:rPr>
      </w:pPr>
      <w:r w:rsidRPr="00EF1F04">
        <w:rPr>
          <w:b/>
          <w:i/>
          <w:color w:val="FF0000"/>
          <w:highlight w:val="yellow"/>
        </w:rPr>
        <w:t>Describe changes in traffic and effects on intersection screening results.</w:t>
      </w:r>
      <w:r w:rsidRPr="00EF1F04">
        <w:rPr>
          <w:b/>
          <w:i/>
          <w:color w:val="FF0000"/>
        </w:rPr>
        <w:t xml:space="preserve"> </w:t>
      </w:r>
    </w:p>
    <w:p w14:paraId="67A4786F" w14:textId="77777777" w:rsidR="00B73A46" w:rsidRDefault="00B73A46" w:rsidP="00B73A46">
      <w:r w:rsidRPr="004562B8">
        <w:rPr>
          <w:highlight w:val="cyan"/>
        </w:rPr>
        <w:t>Estimated emissions remain well below the NAAQS.</w:t>
      </w:r>
      <w:r>
        <w:t xml:space="preserve"> </w:t>
      </w:r>
    </w:p>
    <w:p w14:paraId="53073C62" w14:textId="07234029" w:rsidR="00C33877" w:rsidRDefault="00C33877" w:rsidP="00D1703B"/>
    <w:p w14:paraId="386DC8BF" w14:textId="6C623052" w:rsidR="00C33877" w:rsidRDefault="00C33877" w:rsidP="007C589D">
      <w:pPr>
        <w:pStyle w:val="Heading3"/>
      </w:pPr>
      <w:r>
        <w:t>Conformity Determination</w:t>
      </w:r>
    </w:p>
    <w:p w14:paraId="70A87B9F" w14:textId="77777777" w:rsidR="00B73A46" w:rsidRPr="00EC20AC" w:rsidRDefault="00B73A46" w:rsidP="00B73A46">
      <w:r w:rsidRPr="00EC20AC">
        <w:t xml:space="preserve">Because the NSC project lies within </w:t>
      </w:r>
      <w:r w:rsidRPr="004562B8">
        <w:rPr>
          <w:highlight w:val="cyan"/>
        </w:rPr>
        <w:t>CO and PM</w:t>
      </w:r>
      <w:r w:rsidRPr="004562B8">
        <w:rPr>
          <w:highlight w:val="cyan"/>
          <w:vertAlign w:val="subscript"/>
        </w:rPr>
        <w:t>10</w:t>
      </w:r>
      <w:r w:rsidRPr="00EC20AC">
        <w:t xml:space="preserve"> maintenance areas, the project must comply with the project-level conformity criteria of the EPA Conformity Rule and with WAC Chapter 173-420. </w:t>
      </w:r>
    </w:p>
    <w:p w14:paraId="0A9B85F7" w14:textId="77777777" w:rsidR="00B73A46" w:rsidRPr="00EC20AC" w:rsidRDefault="00B73A46" w:rsidP="00B73A46"/>
    <w:p w14:paraId="0B6F0A4F" w14:textId="77777777" w:rsidR="00B73A46" w:rsidRPr="00EC20AC" w:rsidRDefault="00B73A46" w:rsidP="00B73A46">
      <w:r w:rsidRPr="00EC20AC">
        <w:lastRenderedPageBreak/>
        <w:t xml:space="preserve">The </w:t>
      </w:r>
      <w:r w:rsidRPr="004562B8">
        <w:rPr>
          <w:highlight w:val="cyan"/>
        </w:rPr>
        <w:t>SRTC</w:t>
      </w:r>
      <w:r w:rsidRPr="00EC20AC">
        <w:t xml:space="preserve"> must include regionally significant projects in their approved Metropolitan Transportation Plan (MTP) and federally approved Transportation Improvement Program (TIP). The regional conformity analysis reviewed by the consultation partners and FHWA documented the conformity determination a letter to </w:t>
      </w:r>
      <w:r w:rsidRPr="004562B8">
        <w:rPr>
          <w:highlight w:val="cyan"/>
        </w:rPr>
        <w:t>SRTC dated December 6, 2019.</w:t>
      </w:r>
      <w:r w:rsidRPr="00EC20AC">
        <w:t xml:space="preserve"> </w:t>
      </w:r>
    </w:p>
    <w:p w14:paraId="3DEB274E" w14:textId="77777777" w:rsidR="00B73A46" w:rsidRPr="00EC20AC" w:rsidRDefault="00B73A46" w:rsidP="00B73A46"/>
    <w:p w14:paraId="014FB46E" w14:textId="77777777" w:rsidR="00B73A46" w:rsidRPr="00EC20AC" w:rsidRDefault="00B73A46" w:rsidP="00B73A46">
      <w:r w:rsidRPr="00EC20AC">
        <w:t>As stated in 40 CFR Part 93, the following criteria must be met when determining project conformity. A brief summary of the project’s conformity to the State Implementation Plan (SIP) is discussed with each criterion:</w:t>
      </w:r>
    </w:p>
    <w:p w14:paraId="69C9924F" w14:textId="77777777" w:rsidR="00B73A46" w:rsidRPr="00EC20AC" w:rsidRDefault="00B73A46" w:rsidP="00B73A46"/>
    <w:p w14:paraId="74FEE34C" w14:textId="77777777" w:rsidR="00B73A46" w:rsidRPr="00EC20AC" w:rsidRDefault="00B73A46" w:rsidP="00B73A46">
      <w:pPr>
        <w:pStyle w:val="ListBullet"/>
      </w:pPr>
      <w:r w:rsidRPr="00EC20AC">
        <w:t xml:space="preserve">The conformity determination must be based on the latest planning assumptions (40 CFR Part 93.110). </w:t>
      </w:r>
    </w:p>
    <w:p w14:paraId="7162D6EA" w14:textId="77777777" w:rsidR="00B73A46" w:rsidRPr="004562B8" w:rsidRDefault="00B73A46" w:rsidP="00B73A46">
      <w:pPr>
        <w:pStyle w:val="ListBullet"/>
        <w:numPr>
          <w:ilvl w:val="1"/>
          <w:numId w:val="2"/>
        </w:numPr>
        <w:rPr>
          <w:highlight w:val="cyan"/>
        </w:rPr>
      </w:pPr>
      <w:r w:rsidRPr="004562B8">
        <w:rPr>
          <w:highlight w:val="cyan"/>
        </w:rPr>
        <w:t xml:space="preserve">The December 6, 2019 letter from FHWA to SRTC documents that regional consultation partners found that both the Spokane Regional MTP and the TIP are based on the latest planning assumption. </w:t>
      </w:r>
    </w:p>
    <w:p w14:paraId="77DBB608" w14:textId="77777777" w:rsidR="00B73A46" w:rsidRPr="00EC20AC" w:rsidRDefault="00B73A46" w:rsidP="00B73A46">
      <w:pPr>
        <w:pStyle w:val="ListBullet"/>
      </w:pPr>
      <w:r w:rsidRPr="00EC20AC">
        <w:t xml:space="preserve">The conformity determination must be based on the latest emission estimation model available (40 CFR Part 93.111). </w:t>
      </w:r>
    </w:p>
    <w:p w14:paraId="42E347D1" w14:textId="77777777" w:rsidR="00B73A46" w:rsidRPr="004562B8" w:rsidRDefault="00B73A46" w:rsidP="00B73A46">
      <w:pPr>
        <w:pStyle w:val="ListBullet"/>
        <w:numPr>
          <w:ilvl w:val="1"/>
          <w:numId w:val="2"/>
        </w:numPr>
        <w:rPr>
          <w:highlight w:val="cyan"/>
        </w:rPr>
      </w:pPr>
      <w:r w:rsidRPr="004562B8">
        <w:rPr>
          <w:highlight w:val="cyan"/>
        </w:rPr>
        <w:t xml:space="preserve">The December 6, 2019 letter from FHWA to SRTC documents that regional consultation partners found that both the MTP and TIP are based on the latest emissions model. </w:t>
      </w:r>
    </w:p>
    <w:p w14:paraId="244700F5" w14:textId="77777777" w:rsidR="00B73A46" w:rsidRPr="00EC20AC" w:rsidRDefault="00B73A46" w:rsidP="00B73A46">
      <w:pPr>
        <w:pStyle w:val="ListBullet"/>
      </w:pPr>
      <w:r w:rsidRPr="00EC20AC">
        <w:t xml:space="preserve">The project must come from a conforming transportation plan and program (40 CFR Part 93.114). </w:t>
      </w:r>
    </w:p>
    <w:p w14:paraId="52FC7D49" w14:textId="77777777" w:rsidR="00B73A46" w:rsidRPr="004562B8" w:rsidRDefault="00B73A46" w:rsidP="00B73A46">
      <w:pPr>
        <w:pStyle w:val="ListBullet"/>
        <w:numPr>
          <w:ilvl w:val="1"/>
          <w:numId w:val="2"/>
        </w:numPr>
        <w:rPr>
          <w:highlight w:val="cyan"/>
        </w:rPr>
      </w:pPr>
      <w:r w:rsidRPr="004562B8">
        <w:rPr>
          <w:highlight w:val="cyan"/>
        </w:rPr>
        <w:t>The project is included in SRTC’s conforming MTP and TIP:</w:t>
      </w:r>
    </w:p>
    <w:p w14:paraId="3B5F41E5" w14:textId="77777777" w:rsidR="00B73A46" w:rsidRPr="004562B8" w:rsidRDefault="00B73A46" w:rsidP="00B73A46">
      <w:pPr>
        <w:pStyle w:val="ListBullet"/>
        <w:numPr>
          <w:ilvl w:val="2"/>
          <w:numId w:val="2"/>
        </w:numPr>
        <w:rPr>
          <w:highlight w:val="cyan"/>
        </w:rPr>
      </w:pPr>
      <w:r w:rsidRPr="004562B8">
        <w:rPr>
          <w:highlight w:val="cyan"/>
        </w:rPr>
        <w:t xml:space="preserve">MTP: US 395/North Spokane Corridor – Francis Ave to Spokane River, project L </w:t>
      </w:r>
    </w:p>
    <w:p w14:paraId="506FC901" w14:textId="77777777" w:rsidR="00B73A46" w:rsidRPr="004562B8" w:rsidRDefault="00B73A46" w:rsidP="00B73A46">
      <w:pPr>
        <w:pStyle w:val="ListBullet"/>
        <w:numPr>
          <w:ilvl w:val="2"/>
          <w:numId w:val="2"/>
        </w:numPr>
        <w:rPr>
          <w:highlight w:val="cyan"/>
        </w:rPr>
      </w:pPr>
      <w:r w:rsidRPr="004562B8">
        <w:rPr>
          <w:highlight w:val="cyan"/>
        </w:rPr>
        <w:t>MTP: US 395/North Spokane Corridor – Spokane River to I-90, project X</w:t>
      </w:r>
    </w:p>
    <w:p w14:paraId="6B7F0AE5" w14:textId="77777777" w:rsidR="00B73A46" w:rsidRPr="004562B8" w:rsidRDefault="00B73A46" w:rsidP="00B73A46">
      <w:pPr>
        <w:pStyle w:val="ListBullet"/>
        <w:numPr>
          <w:ilvl w:val="2"/>
          <w:numId w:val="2"/>
        </w:numPr>
        <w:rPr>
          <w:rFonts w:ascii="Calibri" w:hAnsi="Calibri"/>
          <w:sz w:val="22"/>
          <w:highlight w:val="cyan"/>
        </w:rPr>
      </w:pPr>
      <w:r w:rsidRPr="004562B8">
        <w:rPr>
          <w:highlight w:val="cyan"/>
        </w:rPr>
        <w:t>TIP: US 395/NSC I-90 to Sprague Ave (pg 93)</w:t>
      </w:r>
    </w:p>
    <w:p w14:paraId="03D1E3BD" w14:textId="77777777" w:rsidR="00B73A46" w:rsidRPr="004562B8" w:rsidRDefault="00B73A46" w:rsidP="00B73A46">
      <w:pPr>
        <w:pStyle w:val="ListBullet"/>
        <w:numPr>
          <w:ilvl w:val="2"/>
          <w:numId w:val="2"/>
        </w:numPr>
        <w:rPr>
          <w:highlight w:val="cyan"/>
        </w:rPr>
      </w:pPr>
      <w:r w:rsidRPr="004562B8">
        <w:rPr>
          <w:highlight w:val="cyan"/>
        </w:rPr>
        <w:t>TIP: US 395/NSC Spokane River to Columbia (pg 95)</w:t>
      </w:r>
    </w:p>
    <w:p w14:paraId="261A768B" w14:textId="77777777" w:rsidR="00B73A46" w:rsidRPr="004562B8" w:rsidRDefault="00B73A46" w:rsidP="00B73A46">
      <w:pPr>
        <w:pStyle w:val="ListBullet"/>
        <w:numPr>
          <w:ilvl w:val="2"/>
          <w:numId w:val="2"/>
        </w:numPr>
        <w:rPr>
          <w:rFonts w:ascii="Calibri" w:hAnsi="Calibri"/>
          <w:sz w:val="22"/>
          <w:highlight w:val="cyan"/>
        </w:rPr>
      </w:pPr>
      <w:r w:rsidRPr="004562B8">
        <w:rPr>
          <w:highlight w:val="cyan"/>
        </w:rPr>
        <w:t>TIP: US 395/NSC Spokane River Crossing (pg 94)</w:t>
      </w:r>
    </w:p>
    <w:p w14:paraId="604284C4" w14:textId="77777777" w:rsidR="00B73A46" w:rsidRPr="00EC20AC" w:rsidRDefault="00B73A46" w:rsidP="00B73A46">
      <w:pPr>
        <w:pStyle w:val="ListBullet"/>
      </w:pPr>
      <w:r w:rsidRPr="00EC20AC">
        <w:t xml:space="preserve">There must be a current conforming plan and a current conforming TIP at the time of project approval (40 CFR Part 93.115). </w:t>
      </w:r>
    </w:p>
    <w:p w14:paraId="72EC3DF9" w14:textId="77777777" w:rsidR="00B73A46" w:rsidRPr="00EC20AC" w:rsidRDefault="00B73A46" w:rsidP="00B73A46">
      <w:pPr>
        <w:pStyle w:val="ListBullet"/>
        <w:numPr>
          <w:ilvl w:val="1"/>
          <w:numId w:val="2"/>
        </w:numPr>
      </w:pPr>
      <w:r w:rsidRPr="004562B8">
        <w:rPr>
          <w:highlight w:val="cyan"/>
        </w:rPr>
        <w:t>The region’s plan and TIP are current and conforming. The SRTC board adopted the current (2020-2023) TIP on October 10, 2019. The current</w:t>
      </w:r>
      <w:r w:rsidRPr="00EC20AC">
        <w:t xml:space="preserve"> </w:t>
      </w:r>
      <w:r w:rsidRPr="004562B8">
        <w:rPr>
          <w:highlight w:val="cyan"/>
        </w:rPr>
        <w:t>version of the MTP, Horizon 2040, was approved on December 14, 2017 and became the current plan in January 2018.</w:t>
      </w:r>
      <w:r w:rsidRPr="00EC20AC">
        <w:t xml:space="preserve"> </w:t>
      </w:r>
    </w:p>
    <w:p w14:paraId="6C127370" w14:textId="77777777" w:rsidR="00B73A46" w:rsidRPr="00EC20AC" w:rsidRDefault="00B73A46" w:rsidP="00B73A46">
      <w:pPr>
        <w:pStyle w:val="ListBullet"/>
      </w:pPr>
      <w:r w:rsidRPr="00EC20AC">
        <w:t>The project must not cause or contribute to any new localized CO or violation in CO and PM</w:t>
      </w:r>
      <w:r w:rsidRPr="00EC20AC">
        <w:rPr>
          <w:vertAlign w:val="subscript"/>
        </w:rPr>
        <w:t>10</w:t>
      </w:r>
      <w:r w:rsidRPr="00EC20AC">
        <w:t xml:space="preserve"> nonattainment or maintenance areas (40 CFR Part 93.116). </w:t>
      </w:r>
    </w:p>
    <w:p w14:paraId="1AE384CE" w14:textId="77777777" w:rsidR="00B73A46" w:rsidRPr="004562B8" w:rsidRDefault="00B73A46" w:rsidP="00B73A46">
      <w:pPr>
        <w:pStyle w:val="ListBullet"/>
        <w:numPr>
          <w:ilvl w:val="1"/>
          <w:numId w:val="2"/>
        </w:numPr>
        <w:rPr>
          <w:highlight w:val="cyan"/>
        </w:rPr>
      </w:pPr>
      <w:r w:rsidRPr="004562B8">
        <w:rPr>
          <w:highlight w:val="cyan"/>
        </w:rPr>
        <w:lastRenderedPageBreak/>
        <w:t xml:space="preserve">CO hot-spot analysis using WASIST demonstrates that the project will not cause or contribute to any CO violations. </w:t>
      </w:r>
    </w:p>
    <w:p w14:paraId="256A82B8" w14:textId="77777777" w:rsidR="00B73A46" w:rsidRPr="004562B8" w:rsidRDefault="00B73A46" w:rsidP="00B73A46">
      <w:pPr>
        <w:pStyle w:val="ListBullet"/>
        <w:numPr>
          <w:ilvl w:val="1"/>
          <w:numId w:val="2"/>
        </w:numPr>
        <w:rPr>
          <w:highlight w:val="cyan"/>
        </w:rPr>
      </w:pPr>
      <w:r w:rsidRPr="004562B8">
        <w:rPr>
          <w:highlight w:val="cyan"/>
        </w:rPr>
        <w:t>The PM</w:t>
      </w:r>
      <w:r w:rsidRPr="004562B8">
        <w:rPr>
          <w:highlight w:val="cyan"/>
          <w:vertAlign w:val="subscript"/>
        </w:rPr>
        <w:t>10</w:t>
      </w:r>
      <w:r w:rsidRPr="004562B8">
        <w:rPr>
          <w:highlight w:val="cyan"/>
        </w:rPr>
        <w:t xml:space="preserve"> hot-spot analysis showed that the background concentration plus the conservative estimate of the project contribution are 130 µg/m</w:t>
      </w:r>
      <w:r w:rsidRPr="004562B8">
        <w:rPr>
          <w:highlight w:val="cyan"/>
          <w:vertAlign w:val="superscript"/>
        </w:rPr>
        <w:t>3</w:t>
      </w:r>
      <w:r w:rsidRPr="004562B8">
        <w:rPr>
          <w:highlight w:val="cyan"/>
        </w:rPr>
        <w:t>, below the NAAQS of 150 130 µg/m</w:t>
      </w:r>
      <w:r w:rsidRPr="004562B8">
        <w:rPr>
          <w:highlight w:val="cyan"/>
          <w:vertAlign w:val="superscript"/>
        </w:rPr>
        <w:t>3</w:t>
      </w:r>
      <w:r w:rsidRPr="004562B8">
        <w:rPr>
          <w:highlight w:val="cyan"/>
        </w:rPr>
        <w:t>. The project will not cause or contribute to PM</w:t>
      </w:r>
      <w:r w:rsidRPr="004562B8">
        <w:rPr>
          <w:highlight w:val="cyan"/>
          <w:vertAlign w:val="subscript"/>
        </w:rPr>
        <w:t>10</w:t>
      </w:r>
      <w:r w:rsidRPr="004562B8">
        <w:rPr>
          <w:highlight w:val="cyan"/>
        </w:rPr>
        <w:t xml:space="preserve"> violations. </w:t>
      </w:r>
    </w:p>
    <w:p w14:paraId="022582F2" w14:textId="77777777" w:rsidR="00B73A46" w:rsidRPr="00EC20AC" w:rsidRDefault="00B73A46" w:rsidP="00B73A46">
      <w:pPr>
        <w:pStyle w:val="ListBullet"/>
      </w:pPr>
      <w:r w:rsidRPr="00EC20AC">
        <w:t xml:space="preserve">The FHWA project must comply with control measures in the applicable implementation plan (40CFR Part 93.117). </w:t>
      </w:r>
    </w:p>
    <w:p w14:paraId="741D36EF" w14:textId="77777777" w:rsidR="00B73A46" w:rsidRPr="004562B8" w:rsidRDefault="00B73A46" w:rsidP="00B73A46">
      <w:pPr>
        <w:pStyle w:val="ListBullet"/>
        <w:numPr>
          <w:ilvl w:val="1"/>
          <w:numId w:val="2"/>
        </w:numPr>
        <w:rPr>
          <w:highlight w:val="cyan"/>
        </w:rPr>
      </w:pPr>
      <w:r w:rsidRPr="004562B8">
        <w:rPr>
          <w:highlight w:val="cyan"/>
        </w:rPr>
        <w:t>WSDOT complies with PM</w:t>
      </w:r>
      <w:r w:rsidRPr="004562B8">
        <w:rPr>
          <w:highlight w:val="cyan"/>
          <w:vertAlign w:val="subscript"/>
        </w:rPr>
        <w:t>10</w:t>
      </w:r>
      <w:r w:rsidRPr="004562B8">
        <w:rPr>
          <w:highlight w:val="cyan"/>
        </w:rPr>
        <w:t xml:space="preserve"> control measures in the Spokane second 10-year LMP for PM</w:t>
      </w:r>
      <w:r w:rsidRPr="004562B8">
        <w:rPr>
          <w:highlight w:val="cyan"/>
          <w:vertAlign w:val="subscript"/>
        </w:rPr>
        <w:t>10</w:t>
      </w:r>
      <w:r w:rsidRPr="004562B8">
        <w:rPr>
          <w:highlight w:val="cyan"/>
        </w:rPr>
        <w:t>. The plan states that WSDOT has submitted sanding and sweeping plans as required by SRCAA regulation section 6.14.</w:t>
      </w:r>
    </w:p>
    <w:p w14:paraId="1FD1516F" w14:textId="77777777" w:rsidR="00B73A46" w:rsidRDefault="00B73A46" w:rsidP="00B73A46"/>
    <w:p w14:paraId="3278CA7D" w14:textId="0625BD98" w:rsidR="00C33877" w:rsidRDefault="00C33877" w:rsidP="007C589D">
      <w:pPr>
        <w:pStyle w:val="Heading3"/>
      </w:pPr>
      <w:r>
        <w:t>MSAT</w:t>
      </w:r>
    </w:p>
    <w:p w14:paraId="0D67E9DA" w14:textId="77777777" w:rsidR="00C20A08" w:rsidRDefault="00C20A08" w:rsidP="00C20A08">
      <w:r w:rsidRPr="006B7608">
        <w:t>The MSAT analysis was conducted for existing conditions, the 2040 no build alternative and the 2040 build alternative. .</w:t>
      </w:r>
      <w:r w:rsidRPr="00303D6C">
        <w:t xml:space="preserve"> As shown in </w:t>
      </w:r>
      <w:r w:rsidRPr="006B7608">
        <w:rPr>
          <w:highlight w:val="cyan"/>
        </w:rPr>
        <w:t>Exhibit 7</w:t>
      </w:r>
      <w:r w:rsidRPr="00303D6C">
        <w:t xml:space="preserve">, the 2007 EPA rule described above requires controls that will dramatically decrease MSAT emissions through cleaner fuels and cleaner </w:t>
      </w:r>
      <w:r w:rsidRPr="006B7608">
        <w:t xml:space="preserve">engines. Results are shown in Exhibit 20. </w:t>
      </w:r>
    </w:p>
    <w:p w14:paraId="6682FE93" w14:textId="77777777" w:rsidR="00C20A08" w:rsidRDefault="00C20A08" w:rsidP="00C20A08"/>
    <w:p w14:paraId="4A6D37F3" w14:textId="77777777" w:rsidR="00C20A08" w:rsidRPr="00EF1F04" w:rsidRDefault="00C20A08" w:rsidP="00C20A08">
      <w:pPr>
        <w:rPr>
          <w:b/>
          <w:i/>
          <w:color w:val="FF0000"/>
          <w:highlight w:val="yellow"/>
        </w:rPr>
      </w:pPr>
      <w:r w:rsidRPr="00EF1F04">
        <w:rPr>
          <w:b/>
          <w:i/>
          <w:color w:val="FF0000"/>
          <w:highlight w:val="yellow"/>
        </w:rPr>
        <w:t>Describe changes in MSAT emissions between alternatives for years analyzed.</w:t>
      </w:r>
    </w:p>
    <w:p w14:paraId="5B084A5B" w14:textId="77777777" w:rsidR="00C20A08" w:rsidRPr="00366BDC" w:rsidRDefault="00C20A08" w:rsidP="00C20A08">
      <w:pPr>
        <w:rPr>
          <w:highlight w:val="cyan"/>
        </w:rPr>
      </w:pPr>
    </w:p>
    <w:p w14:paraId="6819602B" w14:textId="77777777" w:rsidR="00C20A08" w:rsidRPr="0010278D" w:rsidRDefault="00C20A08" w:rsidP="00C20A08">
      <w:r w:rsidRPr="00366BDC">
        <w:rPr>
          <w:highlight w:val="cyan"/>
        </w:rPr>
        <w:t>In the MSAT study area, VMT is expected to increase by 55 percent from the existing conditions in 2010 to the no build alternative in 2040 while emissions are predicted decrease by 85 to 99 percent, depending on the pollutant. Compared to the no build alternative, the build alternative is expected to decrease VMT by about 12 percent because vehicles traveling through Spokane will have a more direct route due to the project. Build alternative MSAT emissions are expected to be 14 to 19 percent lower than the no build because of the reduced VMT and smoother driving conditions.</w:t>
      </w:r>
      <w:r>
        <w:rPr>
          <w:highlight w:val="cyan"/>
        </w:rPr>
        <w:t xml:space="preserve"> </w:t>
      </w:r>
      <w:r w:rsidRPr="0010278D">
        <w:t xml:space="preserve">Alternative </w:t>
      </w:r>
      <w:r w:rsidRPr="0010278D">
        <w:rPr>
          <w:highlight w:val="cyan"/>
        </w:rPr>
        <w:t>would not</w:t>
      </w:r>
      <w:r w:rsidRPr="0010278D">
        <w:t xml:space="preserve"> result in </w:t>
      </w:r>
      <w:r w:rsidRPr="0010278D">
        <w:rPr>
          <w:bCs/>
          <w:iCs/>
        </w:rPr>
        <w:t>a significant environmental impact regarding MSAT emissions.</w:t>
      </w:r>
    </w:p>
    <w:p w14:paraId="308B4D07" w14:textId="77777777" w:rsidR="00C20A08" w:rsidRPr="00366BDC" w:rsidRDefault="00C20A08" w:rsidP="00C20A08">
      <w:pPr>
        <w:rPr>
          <w:highlight w:val="cyan"/>
        </w:rPr>
      </w:pPr>
    </w:p>
    <w:p w14:paraId="6B16E599" w14:textId="77777777" w:rsidR="00C20A08" w:rsidRPr="00A671A8" w:rsidRDefault="00C20A08" w:rsidP="00C20A08">
      <w:r w:rsidRPr="006B7608">
        <w:t>In FHWA’s view (FHWA 2016), information is incomplete or unavailable to credibly predict the project-specific health impacts due to changes in MSAT emissions associated with a proposed set of highway alternatives. More information on Incomplete or Unavailable Information for Project-Specific MSAT Health Impacts Analysis is in Appendix E.</w:t>
      </w:r>
      <w:r w:rsidRPr="00A671A8">
        <w:t xml:space="preserve"> </w:t>
      </w:r>
    </w:p>
    <w:p w14:paraId="6873198A" w14:textId="77777777" w:rsidR="00C20A08" w:rsidRPr="00303D6C" w:rsidRDefault="00C20A08" w:rsidP="00C20A08"/>
    <w:p w14:paraId="22A79FD2" w14:textId="77777777" w:rsidR="00C20A08" w:rsidRPr="00303D6C" w:rsidRDefault="00C20A08" w:rsidP="00C20A08">
      <w:pPr>
        <w:pStyle w:val="BodyText"/>
        <w:sectPr w:rsidR="00C20A08" w:rsidRPr="00303D6C" w:rsidSect="00650865">
          <w:headerReference w:type="even" r:id="rId29"/>
          <w:headerReference w:type="default" r:id="rId30"/>
          <w:footerReference w:type="even" r:id="rId31"/>
          <w:footerReference w:type="default" r:id="rId32"/>
          <w:footerReference w:type="first" r:id="rId33"/>
          <w:pgSz w:w="12240" w:h="15840" w:code="1"/>
          <w:pgMar w:top="1080" w:right="1440" w:bottom="1080" w:left="1440" w:header="576" w:footer="576" w:gutter="0"/>
          <w:cols w:space="720"/>
          <w:docGrid w:linePitch="360"/>
        </w:sectPr>
      </w:pPr>
    </w:p>
    <w:p w14:paraId="13AB0938" w14:textId="77777777" w:rsidR="00C20A08" w:rsidRPr="00303D6C" w:rsidRDefault="00C20A08" w:rsidP="00C20A08">
      <w:pPr>
        <w:pStyle w:val="ExhibitTitle-405PROJECT"/>
      </w:pPr>
      <w:bookmarkStart w:id="28" w:name="_Toc444669705"/>
      <w:r w:rsidRPr="00303D6C">
        <w:rPr>
          <w:noProof/>
        </w:rPr>
        <w:lastRenderedPageBreak/>
        <w:t>Table XX</w:t>
      </w:r>
      <w:r w:rsidRPr="00303D6C">
        <w:t>: Regional MSAT Emission Assessment</w:t>
      </w:r>
      <w:bookmarkEnd w:id="28"/>
    </w:p>
    <w:tbl>
      <w:tblPr>
        <w:tblStyle w:val="TableGrid"/>
        <w:tblW w:w="12638" w:type="dxa"/>
        <w:tblBorders>
          <w:top w:val="single" w:sz="12" w:space="0" w:color="auto"/>
          <w:left w:val="none" w:sz="0" w:space="0" w:color="auto"/>
          <w:bottom w:val="single" w:sz="12"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615"/>
        <w:gridCol w:w="810"/>
        <w:gridCol w:w="900"/>
        <w:gridCol w:w="900"/>
        <w:gridCol w:w="900"/>
        <w:gridCol w:w="930"/>
        <w:gridCol w:w="930"/>
        <w:gridCol w:w="930"/>
        <w:gridCol w:w="900"/>
        <w:gridCol w:w="930"/>
        <w:gridCol w:w="930"/>
        <w:gridCol w:w="1166"/>
        <w:gridCol w:w="797"/>
      </w:tblGrid>
      <w:tr w:rsidR="00C20A08" w:rsidRPr="0048164B" w14:paraId="2B6FBCB3" w14:textId="77777777" w:rsidTr="00E96B7F">
        <w:trPr>
          <w:trHeight w:val="2076"/>
        </w:trPr>
        <w:tc>
          <w:tcPr>
            <w:tcW w:w="1615" w:type="dxa"/>
            <w:tcBorders>
              <w:left w:val="single" w:sz="4" w:space="0" w:color="BFBFBF" w:themeColor="background1" w:themeShade="BF"/>
              <w:bottom w:val="single" w:sz="12" w:space="0" w:color="auto"/>
              <w:right w:val="single" w:sz="4" w:space="0" w:color="BFBFBF" w:themeColor="background1" w:themeShade="BF"/>
            </w:tcBorders>
            <w:vAlign w:val="bottom"/>
          </w:tcPr>
          <w:p w14:paraId="238D593A" w14:textId="77777777" w:rsidR="00C20A08" w:rsidRPr="001E6C3F" w:rsidRDefault="00C20A08" w:rsidP="00E96B7F">
            <w:pPr>
              <w:rPr>
                <w:sz w:val="22"/>
              </w:rPr>
            </w:pPr>
            <w:r w:rsidRPr="001E6C3F">
              <w:rPr>
                <w:sz w:val="22"/>
              </w:rPr>
              <w:t xml:space="preserve">Alternative </w:t>
            </w:r>
          </w:p>
        </w:tc>
        <w:tc>
          <w:tcPr>
            <w:tcW w:w="810" w:type="dxa"/>
            <w:tcBorders>
              <w:left w:val="single" w:sz="4" w:space="0" w:color="BFBFBF" w:themeColor="background1" w:themeShade="BF"/>
              <w:bottom w:val="single" w:sz="12" w:space="0" w:color="auto"/>
              <w:right w:val="single" w:sz="4" w:space="0" w:color="BFBFBF" w:themeColor="background1" w:themeShade="BF"/>
            </w:tcBorders>
            <w:textDirection w:val="btLr"/>
            <w:vAlign w:val="center"/>
          </w:tcPr>
          <w:p w14:paraId="00A4BC2C" w14:textId="77777777" w:rsidR="00C20A08" w:rsidRPr="0048164B" w:rsidRDefault="00C20A08" w:rsidP="00E96B7F">
            <w:pPr>
              <w:pStyle w:val="NormalWeb"/>
              <w:rPr>
                <w:rFonts w:asciiTheme="majorHAnsi" w:eastAsiaTheme="minorHAnsi" w:hAnsiTheme="majorHAnsi"/>
                <w:sz w:val="22"/>
                <w:szCs w:val="22"/>
              </w:rPr>
            </w:pPr>
            <w:r w:rsidRPr="0048164B">
              <w:rPr>
                <w:rFonts w:asciiTheme="majorHAnsi" w:eastAsiaTheme="minorHAnsi" w:hAnsiTheme="majorHAnsi"/>
                <w:sz w:val="22"/>
                <w:szCs w:val="22"/>
              </w:rPr>
              <w:t>VMT (miles)</w:t>
            </w:r>
          </w:p>
        </w:tc>
        <w:tc>
          <w:tcPr>
            <w:tcW w:w="900" w:type="dxa"/>
            <w:tcBorders>
              <w:left w:val="single" w:sz="4" w:space="0" w:color="BFBFBF" w:themeColor="background1" w:themeShade="BF"/>
              <w:bottom w:val="single" w:sz="12" w:space="0" w:color="auto"/>
            </w:tcBorders>
            <w:textDirection w:val="btLr"/>
            <w:vAlign w:val="center"/>
          </w:tcPr>
          <w:p w14:paraId="4AD39D01" w14:textId="77777777" w:rsidR="00C20A08" w:rsidRPr="0048164B" w:rsidRDefault="00C20A08" w:rsidP="00E96B7F">
            <w:pPr>
              <w:pStyle w:val="NormalWeb"/>
              <w:rPr>
                <w:rFonts w:asciiTheme="majorHAnsi" w:eastAsiaTheme="minorHAnsi" w:hAnsiTheme="majorHAnsi"/>
                <w:sz w:val="22"/>
                <w:szCs w:val="22"/>
              </w:rPr>
            </w:pPr>
            <w:r w:rsidRPr="0048164B">
              <w:rPr>
                <w:rFonts w:asciiTheme="majorHAnsi" w:eastAsiaTheme="minorHAnsi" w:hAnsiTheme="majorHAnsi"/>
                <w:sz w:val="22"/>
                <w:szCs w:val="22"/>
              </w:rPr>
              <w:t>1,3-Butadiene (g)</w:t>
            </w:r>
          </w:p>
        </w:tc>
        <w:tc>
          <w:tcPr>
            <w:tcW w:w="900" w:type="dxa"/>
            <w:tcBorders>
              <w:bottom w:val="single" w:sz="12" w:space="0" w:color="auto"/>
            </w:tcBorders>
            <w:textDirection w:val="btLr"/>
            <w:vAlign w:val="center"/>
          </w:tcPr>
          <w:p w14:paraId="333B11F9" w14:textId="77777777" w:rsidR="00C20A08" w:rsidRPr="0048164B" w:rsidRDefault="00C20A08" w:rsidP="00E96B7F">
            <w:pPr>
              <w:pStyle w:val="NormalWeb"/>
              <w:rPr>
                <w:rFonts w:asciiTheme="majorHAnsi" w:eastAsiaTheme="minorHAnsi" w:hAnsiTheme="majorHAnsi"/>
                <w:sz w:val="22"/>
                <w:szCs w:val="22"/>
              </w:rPr>
            </w:pPr>
            <w:r w:rsidRPr="0048164B">
              <w:rPr>
                <w:rFonts w:asciiTheme="majorHAnsi" w:eastAsiaTheme="minorHAnsi" w:hAnsiTheme="majorHAnsi"/>
                <w:sz w:val="22"/>
                <w:szCs w:val="22"/>
              </w:rPr>
              <w:t>Acetaldehyde (g)</w:t>
            </w:r>
          </w:p>
        </w:tc>
        <w:tc>
          <w:tcPr>
            <w:tcW w:w="900" w:type="dxa"/>
            <w:tcBorders>
              <w:bottom w:val="single" w:sz="12" w:space="0" w:color="auto"/>
            </w:tcBorders>
            <w:textDirection w:val="btLr"/>
            <w:vAlign w:val="center"/>
          </w:tcPr>
          <w:p w14:paraId="7C2D3DE4" w14:textId="77777777" w:rsidR="00C20A08" w:rsidRPr="0048164B" w:rsidRDefault="00C20A08" w:rsidP="00E96B7F">
            <w:pPr>
              <w:pStyle w:val="NormalWeb"/>
              <w:rPr>
                <w:rFonts w:asciiTheme="majorHAnsi" w:eastAsiaTheme="minorHAnsi" w:hAnsiTheme="majorHAnsi"/>
                <w:sz w:val="22"/>
                <w:szCs w:val="22"/>
              </w:rPr>
            </w:pPr>
            <w:r w:rsidRPr="0048164B">
              <w:rPr>
                <w:rFonts w:asciiTheme="majorHAnsi" w:eastAsiaTheme="minorHAnsi" w:hAnsiTheme="majorHAnsi"/>
                <w:sz w:val="22"/>
                <w:szCs w:val="22"/>
              </w:rPr>
              <w:t>Acrolein (g)</w:t>
            </w:r>
          </w:p>
        </w:tc>
        <w:tc>
          <w:tcPr>
            <w:tcW w:w="930" w:type="dxa"/>
            <w:tcBorders>
              <w:bottom w:val="single" w:sz="12" w:space="0" w:color="auto"/>
            </w:tcBorders>
            <w:textDirection w:val="btLr"/>
            <w:vAlign w:val="center"/>
          </w:tcPr>
          <w:p w14:paraId="6EAC5C1F" w14:textId="77777777" w:rsidR="00C20A08" w:rsidRPr="0048164B" w:rsidRDefault="00C20A08" w:rsidP="00E96B7F">
            <w:pPr>
              <w:pStyle w:val="NormalWeb"/>
              <w:rPr>
                <w:rFonts w:asciiTheme="majorHAnsi" w:eastAsiaTheme="minorHAnsi" w:hAnsiTheme="majorHAnsi"/>
                <w:sz w:val="22"/>
                <w:szCs w:val="22"/>
              </w:rPr>
            </w:pPr>
            <w:r w:rsidRPr="0048164B">
              <w:rPr>
                <w:rFonts w:asciiTheme="majorHAnsi" w:eastAsiaTheme="minorHAnsi" w:hAnsiTheme="majorHAnsi"/>
                <w:sz w:val="22"/>
                <w:szCs w:val="22"/>
              </w:rPr>
              <w:t>Benzene (g)</w:t>
            </w:r>
          </w:p>
        </w:tc>
        <w:tc>
          <w:tcPr>
            <w:tcW w:w="930" w:type="dxa"/>
            <w:tcBorders>
              <w:bottom w:val="single" w:sz="12" w:space="0" w:color="auto"/>
            </w:tcBorders>
            <w:textDirection w:val="btLr"/>
            <w:vAlign w:val="center"/>
          </w:tcPr>
          <w:p w14:paraId="6556FAAF" w14:textId="77777777" w:rsidR="00C20A08" w:rsidRPr="0048164B" w:rsidRDefault="00C20A08" w:rsidP="00E96B7F">
            <w:pPr>
              <w:pStyle w:val="NormalWeb"/>
              <w:rPr>
                <w:rFonts w:asciiTheme="majorHAnsi" w:eastAsiaTheme="minorHAnsi" w:hAnsiTheme="majorHAnsi"/>
                <w:sz w:val="22"/>
                <w:szCs w:val="22"/>
              </w:rPr>
            </w:pPr>
            <w:r w:rsidRPr="0048164B">
              <w:rPr>
                <w:rFonts w:asciiTheme="majorHAnsi" w:eastAsiaTheme="minorHAnsi" w:hAnsiTheme="majorHAnsi"/>
                <w:sz w:val="22"/>
                <w:szCs w:val="22"/>
              </w:rPr>
              <w:t>Diesel PM (g)</w:t>
            </w:r>
          </w:p>
        </w:tc>
        <w:tc>
          <w:tcPr>
            <w:tcW w:w="930" w:type="dxa"/>
            <w:tcBorders>
              <w:bottom w:val="single" w:sz="12" w:space="0" w:color="auto"/>
            </w:tcBorders>
            <w:textDirection w:val="btLr"/>
            <w:vAlign w:val="center"/>
          </w:tcPr>
          <w:p w14:paraId="54DBFB4B" w14:textId="77777777" w:rsidR="00C20A08" w:rsidRPr="0048164B" w:rsidRDefault="00C20A08" w:rsidP="00E96B7F">
            <w:pPr>
              <w:pStyle w:val="NormalWeb"/>
              <w:rPr>
                <w:rFonts w:asciiTheme="majorHAnsi" w:eastAsiaTheme="minorHAnsi" w:hAnsiTheme="majorHAnsi"/>
                <w:sz w:val="22"/>
                <w:szCs w:val="22"/>
              </w:rPr>
            </w:pPr>
            <w:r w:rsidRPr="0048164B">
              <w:rPr>
                <w:rFonts w:asciiTheme="majorHAnsi" w:eastAsiaTheme="minorHAnsi" w:hAnsiTheme="majorHAnsi"/>
                <w:sz w:val="22"/>
                <w:szCs w:val="22"/>
              </w:rPr>
              <w:t>Ethylbenzene (g)</w:t>
            </w:r>
          </w:p>
        </w:tc>
        <w:tc>
          <w:tcPr>
            <w:tcW w:w="900" w:type="dxa"/>
            <w:tcBorders>
              <w:bottom w:val="single" w:sz="12" w:space="0" w:color="auto"/>
            </w:tcBorders>
            <w:textDirection w:val="btLr"/>
            <w:vAlign w:val="center"/>
          </w:tcPr>
          <w:p w14:paraId="16443F6B" w14:textId="77777777" w:rsidR="00C20A08" w:rsidRPr="0048164B" w:rsidRDefault="00C20A08" w:rsidP="00E96B7F">
            <w:pPr>
              <w:pStyle w:val="NormalWeb"/>
              <w:rPr>
                <w:rFonts w:asciiTheme="majorHAnsi" w:eastAsiaTheme="minorHAnsi" w:hAnsiTheme="majorHAnsi"/>
                <w:sz w:val="22"/>
                <w:szCs w:val="22"/>
              </w:rPr>
            </w:pPr>
            <w:r w:rsidRPr="0048164B">
              <w:rPr>
                <w:rFonts w:asciiTheme="majorHAnsi" w:eastAsiaTheme="minorHAnsi" w:hAnsiTheme="majorHAnsi"/>
                <w:sz w:val="22"/>
                <w:szCs w:val="22"/>
              </w:rPr>
              <w:t>Formaldehyde (g)</w:t>
            </w:r>
          </w:p>
        </w:tc>
        <w:tc>
          <w:tcPr>
            <w:tcW w:w="930" w:type="dxa"/>
            <w:tcBorders>
              <w:bottom w:val="single" w:sz="12" w:space="0" w:color="auto"/>
            </w:tcBorders>
            <w:textDirection w:val="btLr"/>
            <w:vAlign w:val="center"/>
          </w:tcPr>
          <w:p w14:paraId="5341B72C" w14:textId="77777777" w:rsidR="00C20A08" w:rsidRPr="0048164B" w:rsidRDefault="00C20A08" w:rsidP="00E96B7F">
            <w:pPr>
              <w:pStyle w:val="NormalWeb"/>
              <w:rPr>
                <w:rFonts w:asciiTheme="majorHAnsi" w:eastAsiaTheme="minorHAnsi" w:hAnsiTheme="majorHAnsi"/>
                <w:sz w:val="22"/>
                <w:szCs w:val="22"/>
              </w:rPr>
            </w:pPr>
            <w:r w:rsidRPr="0048164B">
              <w:rPr>
                <w:rFonts w:asciiTheme="majorHAnsi" w:eastAsiaTheme="minorHAnsi" w:hAnsiTheme="majorHAnsi"/>
                <w:sz w:val="22"/>
                <w:szCs w:val="22"/>
              </w:rPr>
              <w:t>Naphthalene (g)</w:t>
            </w:r>
          </w:p>
        </w:tc>
        <w:tc>
          <w:tcPr>
            <w:tcW w:w="930" w:type="dxa"/>
            <w:tcBorders>
              <w:bottom w:val="single" w:sz="12" w:space="0" w:color="auto"/>
              <w:right w:val="single" w:sz="4" w:space="0" w:color="BFBFBF" w:themeColor="background1" w:themeShade="BF"/>
            </w:tcBorders>
            <w:textDirection w:val="btLr"/>
            <w:vAlign w:val="center"/>
          </w:tcPr>
          <w:p w14:paraId="1B1D01E1" w14:textId="77777777" w:rsidR="00C20A08" w:rsidRPr="0048164B" w:rsidRDefault="00C20A08" w:rsidP="00E96B7F">
            <w:pPr>
              <w:pStyle w:val="NormalWeb"/>
              <w:rPr>
                <w:rFonts w:asciiTheme="majorHAnsi" w:eastAsiaTheme="minorHAnsi" w:hAnsiTheme="majorHAnsi"/>
                <w:sz w:val="22"/>
                <w:szCs w:val="22"/>
              </w:rPr>
            </w:pPr>
            <w:r w:rsidRPr="0048164B">
              <w:rPr>
                <w:rFonts w:asciiTheme="majorHAnsi" w:eastAsiaTheme="minorHAnsi" w:hAnsiTheme="majorHAnsi"/>
                <w:sz w:val="22"/>
                <w:szCs w:val="22"/>
              </w:rPr>
              <w:t>POM (g)</w:t>
            </w:r>
          </w:p>
        </w:tc>
        <w:tc>
          <w:tcPr>
            <w:tcW w:w="1166" w:type="dxa"/>
            <w:tcBorders>
              <w:left w:val="single" w:sz="4" w:space="0" w:color="BFBFBF" w:themeColor="background1" w:themeShade="BF"/>
              <w:bottom w:val="single" w:sz="12" w:space="0" w:color="auto"/>
              <w:right w:val="single" w:sz="4" w:space="0" w:color="BFBFBF" w:themeColor="background1" w:themeShade="BF"/>
            </w:tcBorders>
            <w:textDirection w:val="btLr"/>
            <w:vAlign w:val="center"/>
          </w:tcPr>
          <w:p w14:paraId="42DDE7FC" w14:textId="77777777" w:rsidR="00C20A08" w:rsidRPr="0048164B" w:rsidRDefault="00C20A08" w:rsidP="00E96B7F">
            <w:pPr>
              <w:pStyle w:val="NormalWeb"/>
              <w:rPr>
                <w:rFonts w:asciiTheme="majorHAnsi" w:eastAsiaTheme="minorHAnsi" w:hAnsiTheme="majorHAnsi"/>
                <w:sz w:val="22"/>
                <w:szCs w:val="22"/>
              </w:rPr>
            </w:pPr>
            <w:r w:rsidRPr="006B7608">
              <w:rPr>
                <w:rFonts w:asciiTheme="majorHAnsi" w:eastAsiaTheme="minorHAnsi" w:hAnsiTheme="majorHAnsi"/>
                <w:sz w:val="22"/>
                <w:szCs w:val="22"/>
                <w:highlight w:val="cyan"/>
              </w:rPr>
              <w:t>Energy Use</w:t>
            </w:r>
            <w:r w:rsidRPr="0048164B">
              <w:rPr>
                <w:rFonts w:asciiTheme="majorHAnsi" w:eastAsiaTheme="minorHAnsi" w:hAnsiTheme="majorHAnsi"/>
                <w:sz w:val="22"/>
                <w:szCs w:val="22"/>
              </w:rPr>
              <w:t xml:space="preserve"> (M</w:t>
            </w:r>
            <w:r>
              <w:rPr>
                <w:rFonts w:asciiTheme="majorHAnsi" w:eastAsiaTheme="minorHAnsi" w:hAnsiTheme="majorHAnsi"/>
                <w:sz w:val="22"/>
                <w:szCs w:val="22"/>
              </w:rPr>
              <w:t>MBTU</w:t>
            </w:r>
            <w:r w:rsidRPr="0048164B">
              <w:rPr>
                <w:rFonts w:asciiTheme="majorHAnsi" w:eastAsiaTheme="minorHAnsi" w:hAnsiTheme="majorHAnsi"/>
                <w:sz w:val="22"/>
                <w:szCs w:val="22"/>
              </w:rPr>
              <w:t>)</w:t>
            </w:r>
          </w:p>
        </w:tc>
        <w:tc>
          <w:tcPr>
            <w:tcW w:w="797" w:type="dxa"/>
            <w:tcBorders>
              <w:left w:val="single" w:sz="4" w:space="0" w:color="BFBFBF" w:themeColor="background1" w:themeShade="BF"/>
              <w:bottom w:val="single" w:sz="12" w:space="0" w:color="auto"/>
              <w:right w:val="single" w:sz="4" w:space="0" w:color="BFBFBF" w:themeColor="background1" w:themeShade="BF"/>
            </w:tcBorders>
            <w:textDirection w:val="btLr"/>
            <w:vAlign w:val="center"/>
          </w:tcPr>
          <w:p w14:paraId="561980D1" w14:textId="77777777" w:rsidR="00C20A08" w:rsidRPr="0048164B" w:rsidRDefault="00C20A08" w:rsidP="00E96B7F">
            <w:pPr>
              <w:pStyle w:val="NormalWeb"/>
              <w:rPr>
                <w:rFonts w:asciiTheme="majorHAnsi" w:eastAsiaTheme="minorHAnsi" w:hAnsiTheme="majorHAnsi"/>
                <w:sz w:val="22"/>
                <w:szCs w:val="22"/>
              </w:rPr>
            </w:pPr>
            <w:r w:rsidRPr="0048164B">
              <w:rPr>
                <w:rFonts w:asciiTheme="majorHAnsi" w:eastAsiaTheme="minorHAnsi" w:hAnsiTheme="majorHAnsi"/>
                <w:sz w:val="22"/>
                <w:szCs w:val="22"/>
              </w:rPr>
              <w:t>GHGs (MT)</w:t>
            </w:r>
          </w:p>
        </w:tc>
      </w:tr>
      <w:tr w:rsidR="00C20A08" w:rsidRPr="001E6C3F" w14:paraId="2C648644" w14:textId="77777777" w:rsidTr="00E96B7F">
        <w:tc>
          <w:tcPr>
            <w:tcW w:w="1615" w:type="dxa"/>
            <w:tcBorders>
              <w:left w:val="single" w:sz="4" w:space="0" w:color="BFBFBF" w:themeColor="background1" w:themeShade="BF"/>
              <w:bottom w:val="single" w:sz="4" w:space="0" w:color="auto"/>
              <w:right w:val="single" w:sz="4" w:space="0" w:color="BFBFBF" w:themeColor="background1" w:themeShade="BF"/>
            </w:tcBorders>
            <w:vAlign w:val="bottom"/>
          </w:tcPr>
          <w:p w14:paraId="78A6F2A5" w14:textId="77777777" w:rsidR="00C20A08" w:rsidRPr="001E6C3F" w:rsidRDefault="00C20A08" w:rsidP="00E96B7F">
            <w:pPr>
              <w:rPr>
                <w:sz w:val="22"/>
              </w:rPr>
            </w:pPr>
            <w:r w:rsidRPr="001E6C3F">
              <w:rPr>
                <w:sz w:val="22"/>
              </w:rPr>
              <w:t>Existing (</w:t>
            </w:r>
            <w:r w:rsidRPr="006B7608">
              <w:rPr>
                <w:sz w:val="22"/>
                <w:highlight w:val="cyan"/>
              </w:rPr>
              <w:t>2010</w:t>
            </w:r>
            <w:r w:rsidRPr="001E6C3F">
              <w:rPr>
                <w:sz w:val="22"/>
              </w:rPr>
              <w:t>)</w:t>
            </w:r>
          </w:p>
        </w:tc>
        <w:tc>
          <w:tcPr>
            <w:tcW w:w="810" w:type="dxa"/>
            <w:tcBorders>
              <w:left w:val="single" w:sz="4" w:space="0" w:color="BFBFBF" w:themeColor="background1" w:themeShade="BF"/>
              <w:bottom w:val="single" w:sz="4" w:space="0" w:color="auto"/>
              <w:right w:val="single" w:sz="4" w:space="0" w:color="BFBFBF" w:themeColor="background1" w:themeShade="BF"/>
            </w:tcBorders>
            <w:vAlign w:val="bottom"/>
          </w:tcPr>
          <w:p w14:paraId="37B7990E" w14:textId="77777777" w:rsidR="00C20A08" w:rsidRPr="006B7608" w:rsidRDefault="00C20A08" w:rsidP="00E96B7F">
            <w:pPr>
              <w:jc w:val="center"/>
              <w:rPr>
                <w:sz w:val="22"/>
                <w:highlight w:val="cyan"/>
              </w:rPr>
            </w:pPr>
          </w:p>
        </w:tc>
        <w:tc>
          <w:tcPr>
            <w:tcW w:w="900" w:type="dxa"/>
            <w:tcBorders>
              <w:left w:val="single" w:sz="4" w:space="0" w:color="BFBFBF" w:themeColor="background1" w:themeShade="BF"/>
              <w:bottom w:val="single" w:sz="4" w:space="0" w:color="auto"/>
            </w:tcBorders>
            <w:vAlign w:val="bottom"/>
          </w:tcPr>
          <w:p w14:paraId="19778455" w14:textId="77777777" w:rsidR="00C20A08" w:rsidRPr="006B7608" w:rsidRDefault="00C20A08" w:rsidP="00E96B7F">
            <w:pPr>
              <w:jc w:val="center"/>
              <w:rPr>
                <w:sz w:val="22"/>
                <w:highlight w:val="cyan"/>
              </w:rPr>
            </w:pPr>
            <w:r w:rsidRPr="006B7608">
              <w:rPr>
                <w:sz w:val="22"/>
                <w:highlight w:val="cyan"/>
              </w:rPr>
              <w:t>13.03</w:t>
            </w:r>
          </w:p>
        </w:tc>
        <w:tc>
          <w:tcPr>
            <w:tcW w:w="900" w:type="dxa"/>
            <w:tcBorders>
              <w:bottom w:val="single" w:sz="4" w:space="0" w:color="auto"/>
            </w:tcBorders>
            <w:vAlign w:val="bottom"/>
          </w:tcPr>
          <w:p w14:paraId="191C66FB" w14:textId="77777777" w:rsidR="00C20A08" w:rsidRPr="006B7608" w:rsidRDefault="00C20A08" w:rsidP="00E96B7F">
            <w:pPr>
              <w:jc w:val="center"/>
              <w:rPr>
                <w:sz w:val="22"/>
                <w:highlight w:val="cyan"/>
              </w:rPr>
            </w:pPr>
            <w:r w:rsidRPr="006B7608">
              <w:rPr>
                <w:sz w:val="22"/>
                <w:highlight w:val="cyan"/>
              </w:rPr>
              <w:t>41.41</w:t>
            </w:r>
          </w:p>
        </w:tc>
        <w:tc>
          <w:tcPr>
            <w:tcW w:w="900" w:type="dxa"/>
            <w:tcBorders>
              <w:bottom w:val="single" w:sz="4" w:space="0" w:color="auto"/>
            </w:tcBorders>
            <w:vAlign w:val="bottom"/>
          </w:tcPr>
          <w:p w14:paraId="71A76434" w14:textId="77777777" w:rsidR="00C20A08" w:rsidRPr="006B7608" w:rsidRDefault="00C20A08" w:rsidP="00E96B7F">
            <w:pPr>
              <w:jc w:val="center"/>
              <w:rPr>
                <w:sz w:val="22"/>
                <w:highlight w:val="cyan"/>
              </w:rPr>
            </w:pPr>
            <w:r w:rsidRPr="006B7608">
              <w:rPr>
                <w:sz w:val="22"/>
                <w:highlight w:val="cyan"/>
              </w:rPr>
              <w:t>4.38</w:t>
            </w:r>
          </w:p>
        </w:tc>
        <w:tc>
          <w:tcPr>
            <w:tcW w:w="930" w:type="dxa"/>
            <w:tcBorders>
              <w:bottom w:val="single" w:sz="4" w:space="0" w:color="auto"/>
            </w:tcBorders>
            <w:vAlign w:val="bottom"/>
          </w:tcPr>
          <w:p w14:paraId="3DBC017F" w14:textId="77777777" w:rsidR="00C20A08" w:rsidRPr="006B7608" w:rsidRDefault="00C20A08" w:rsidP="00E96B7F">
            <w:pPr>
              <w:jc w:val="center"/>
              <w:rPr>
                <w:sz w:val="22"/>
                <w:highlight w:val="cyan"/>
              </w:rPr>
            </w:pPr>
            <w:r w:rsidRPr="006B7608">
              <w:rPr>
                <w:sz w:val="22"/>
                <w:highlight w:val="cyan"/>
              </w:rPr>
              <w:t>114.32</w:t>
            </w:r>
          </w:p>
        </w:tc>
        <w:tc>
          <w:tcPr>
            <w:tcW w:w="930" w:type="dxa"/>
            <w:tcBorders>
              <w:bottom w:val="single" w:sz="4" w:space="0" w:color="auto"/>
            </w:tcBorders>
            <w:vAlign w:val="bottom"/>
          </w:tcPr>
          <w:p w14:paraId="70924079" w14:textId="77777777" w:rsidR="00C20A08" w:rsidRPr="006B7608" w:rsidRDefault="00C20A08" w:rsidP="00E96B7F">
            <w:pPr>
              <w:jc w:val="center"/>
              <w:rPr>
                <w:sz w:val="22"/>
                <w:highlight w:val="cyan"/>
              </w:rPr>
            </w:pPr>
            <w:r w:rsidRPr="006B7608">
              <w:rPr>
                <w:sz w:val="22"/>
                <w:highlight w:val="cyan"/>
              </w:rPr>
              <w:t>320.27</w:t>
            </w:r>
          </w:p>
        </w:tc>
        <w:tc>
          <w:tcPr>
            <w:tcW w:w="930" w:type="dxa"/>
            <w:tcBorders>
              <w:bottom w:val="single" w:sz="4" w:space="0" w:color="auto"/>
            </w:tcBorders>
            <w:vAlign w:val="bottom"/>
          </w:tcPr>
          <w:p w14:paraId="35C04BE8" w14:textId="77777777" w:rsidR="00C20A08" w:rsidRPr="006B7608" w:rsidRDefault="00C20A08" w:rsidP="00E96B7F">
            <w:pPr>
              <w:jc w:val="center"/>
              <w:rPr>
                <w:sz w:val="22"/>
                <w:highlight w:val="cyan"/>
              </w:rPr>
            </w:pPr>
            <w:r w:rsidRPr="006B7608">
              <w:rPr>
                <w:sz w:val="22"/>
                <w:highlight w:val="cyan"/>
              </w:rPr>
              <w:t>50.38</w:t>
            </w:r>
          </w:p>
        </w:tc>
        <w:tc>
          <w:tcPr>
            <w:tcW w:w="900" w:type="dxa"/>
            <w:tcBorders>
              <w:bottom w:val="single" w:sz="4" w:space="0" w:color="auto"/>
            </w:tcBorders>
            <w:vAlign w:val="bottom"/>
          </w:tcPr>
          <w:p w14:paraId="2D2CD721" w14:textId="77777777" w:rsidR="00C20A08" w:rsidRPr="006B7608" w:rsidRDefault="00C20A08" w:rsidP="00E96B7F">
            <w:pPr>
              <w:jc w:val="center"/>
              <w:rPr>
                <w:sz w:val="22"/>
                <w:highlight w:val="cyan"/>
              </w:rPr>
            </w:pPr>
            <w:r w:rsidRPr="006B7608">
              <w:rPr>
                <w:sz w:val="22"/>
                <w:highlight w:val="cyan"/>
              </w:rPr>
              <w:t>65.54</w:t>
            </w:r>
          </w:p>
        </w:tc>
        <w:tc>
          <w:tcPr>
            <w:tcW w:w="930" w:type="dxa"/>
            <w:tcBorders>
              <w:bottom w:val="single" w:sz="4" w:space="0" w:color="auto"/>
            </w:tcBorders>
            <w:vAlign w:val="bottom"/>
          </w:tcPr>
          <w:p w14:paraId="2C45CA48" w14:textId="77777777" w:rsidR="00C20A08" w:rsidRPr="006B7608" w:rsidRDefault="00C20A08" w:rsidP="00E96B7F">
            <w:pPr>
              <w:jc w:val="center"/>
              <w:rPr>
                <w:sz w:val="22"/>
                <w:highlight w:val="cyan"/>
              </w:rPr>
            </w:pPr>
            <w:r w:rsidRPr="006B7608">
              <w:rPr>
                <w:sz w:val="22"/>
                <w:highlight w:val="cyan"/>
              </w:rPr>
              <w:t>115.92</w:t>
            </w:r>
          </w:p>
        </w:tc>
        <w:tc>
          <w:tcPr>
            <w:tcW w:w="930" w:type="dxa"/>
            <w:tcBorders>
              <w:bottom w:val="single" w:sz="4" w:space="0" w:color="auto"/>
              <w:right w:val="single" w:sz="4" w:space="0" w:color="BFBFBF" w:themeColor="background1" w:themeShade="BF"/>
            </w:tcBorders>
            <w:vAlign w:val="bottom"/>
          </w:tcPr>
          <w:p w14:paraId="0C6DF5F7" w14:textId="77777777" w:rsidR="00C20A08" w:rsidRPr="006B7608" w:rsidRDefault="00C20A08" w:rsidP="00E96B7F">
            <w:pPr>
              <w:jc w:val="center"/>
              <w:rPr>
                <w:sz w:val="22"/>
                <w:highlight w:val="cyan"/>
              </w:rPr>
            </w:pPr>
            <w:r w:rsidRPr="006B7608">
              <w:rPr>
                <w:sz w:val="22"/>
                <w:highlight w:val="cyan"/>
              </w:rPr>
              <w:t>480.21</w:t>
            </w:r>
          </w:p>
        </w:tc>
        <w:tc>
          <w:tcPr>
            <w:tcW w:w="1166" w:type="dxa"/>
            <w:tcBorders>
              <w:left w:val="single" w:sz="4" w:space="0" w:color="BFBFBF" w:themeColor="background1" w:themeShade="BF"/>
              <w:bottom w:val="single" w:sz="4" w:space="0" w:color="auto"/>
              <w:right w:val="single" w:sz="4" w:space="0" w:color="BFBFBF" w:themeColor="background1" w:themeShade="BF"/>
            </w:tcBorders>
            <w:vAlign w:val="bottom"/>
          </w:tcPr>
          <w:p w14:paraId="7181B4FB" w14:textId="77777777" w:rsidR="00C20A08" w:rsidRPr="006B7608" w:rsidRDefault="00C20A08" w:rsidP="00E96B7F">
            <w:pPr>
              <w:jc w:val="center"/>
              <w:rPr>
                <w:sz w:val="22"/>
                <w:highlight w:val="cyan"/>
              </w:rPr>
            </w:pPr>
            <w:r w:rsidRPr="006B7608">
              <w:rPr>
                <w:sz w:val="22"/>
                <w:highlight w:val="cyan"/>
              </w:rPr>
              <w:t>479.8</w:t>
            </w:r>
          </w:p>
        </w:tc>
        <w:tc>
          <w:tcPr>
            <w:tcW w:w="797" w:type="dxa"/>
            <w:tcBorders>
              <w:left w:val="single" w:sz="4" w:space="0" w:color="BFBFBF" w:themeColor="background1" w:themeShade="BF"/>
              <w:bottom w:val="single" w:sz="4" w:space="0" w:color="auto"/>
              <w:right w:val="single" w:sz="4" w:space="0" w:color="BFBFBF" w:themeColor="background1" w:themeShade="BF"/>
            </w:tcBorders>
            <w:vAlign w:val="bottom"/>
          </w:tcPr>
          <w:p w14:paraId="1809007D" w14:textId="77777777" w:rsidR="00C20A08" w:rsidRPr="006B7608" w:rsidRDefault="00C20A08" w:rsidP="00E96B7F">
            <w:pPr>
              <w:jc w:val="center"/>
              <w:rPr>
                <w:sz w:val="22"/>
                <w:highlight w:val="cyan"/>
              </w:rPr>
            </w:pPr>
            <w:r w:rsidRPr="006B7608">
              <w:rPr>
                <w:sz w:val="22"/>
                <w:highlight w:val="cyan"/>
              </w:rPr>
              <w:t>3,679</w:t>
            </w:r>
          </w:p>
        </w:tc>
      </w:tr>
      <w:tr w:rsidR="00C20A08" w:rsidRPr="001E6C3F" w14:paraId="4CF0CD80" w14:textId="77777777" w:rsidTr="00E96B7F">
        <w:tc>
          <w:tcPr>
            <w:tcW w:w="1615" w:type="dxa"/>
            <w:tcBorders>
              <w:top w:val="single" w:sz="4" w:space="0" w:color="auto"/>
              <w:left w:val="single" w:sz="4" w:space="0" w:color="BFBFBF" w:themeColor="background1" w:themeShade="BF"/>
              <w:right w:val="single" w:sz="4" w:space="0" w:color="BFBFBF" w:themeColor="background1" w:themeShade="BF"/>
            </w:tcBorders>
            <w:vAlign w:val="bottom"/>
          </w:tcPr>
          <w:p w14:paraId="277FA3CA" w14:textId="77777777" w:rsidR="00C20A08" w:rsidRPr="001E6C3F" w:rsidRDefault="00C20A08" w:rsidP="00E96B7F">
            <w:pPr>
              <w:rPr>
                <w:sz w:val="22"/>
              </w:rPr>
            </w:pPr>
            <w:r w:rsidRPr="001E6C3F">
              <w:rPr>
                <w:sz w:val="22"/>
              </w:rPr>
              <w:t>No Build (</w:t>
            </w:r>
            <w:r w:rsidRPr="006B7608">
              <w:rPr>
                <w:sz w:val="22"/>
                <w:highlight w:val="cyan"/>
              </w:rPr>
              <w:t>2040</w:t>
            </w:r>
            <w:r w:rsidRPr="001E6C3F">
              <w:rPr>
                <w:sz w:val="22"/>
              </w:rPr>
              <w:t>)</w:t>
            </w:r>
          </w:p>
        </w:tc>
        <w:tc>
          <w:tcPr>
            <w:tcW w:w="810" w:type="dxa"/>
            <w:tcBorders>
              <w:top w:val="single" w:sz="4" w:space="0" w:color="auto"/>
              <w:left w:val="single" w:sz="4" w:space="0" w:color="BFBFBF" w:themeColor="background1" w:themeShade="BF"/>
              <w:right w:val="single" w:sz="4" w:space="0" w:color="BFBFBF" w:themeColor="background1" w:themeShade="BF"/>
            </w:tcBorders>
            <w:vAlign w:val="bottom"/>
          </w:tcPr>
          <w:p w14:paraId="66BB41FD" w14:textId="77777777" w:rsidR="00C20A08" w:rsidRPr="006B7608" w:rsidRDefault="00C20A08" w:rsidP="00E96B7F">
            <w:pPr>
              <w:jc w:val="center"/>
              <w:rPr>
                <w:sz w:val="22"/>
                <w:highlight w:val="cyan"/>
              </w:rPr>
            </w:pPr>
          </w:p>
        </w:tc>
        <w:tc>
          <w:tcPr>
            <w:tcW w:w="900" w:type="dxa"/>
            <w:tcBorders>
              <w:top w:val="single" w:sz="4" w:space="0" w:color="auto"/>
              <w:left w:val="single" w:sz="4" w:space="0" w:color="BFBFBF" w:themeColor="background1" w:themeShade="BF"/>
            </w:tcBorders>
            <w:vAlign w:val="bottom"/>
          </w:tcPr>
          <w:p w14:paraId="38DF7D4C" w14:textId="77777777" w:rsidR="00C20A08" w:rsidRPr="006B7608" w:rsidRDefault="00C20A08" w:rsidP="00E96B7F">
            <w:pPr>
              <w:jc w:val="center"/>
              <w:rPr>
                <w:sz w:val="22"/>
                <w:highlight w:val="cyan"/>
              </w:rPr>
            </w:pPr>
            <w:r w:rsidRPr="006B7608">
              <w:rPr>
                <w:sz w:val="22"/>
                <w:highlight w:val="cyan"/>
              </w:rPr>
              <w:t>0.03</w:t>
            </w:r>
          </w:p>
        </w:tc>
        <w:tc>
          <w:tcPr>
            <w:tcW w:w="900" w:type="dxa"/>
            <w:tcBorders>
              <w:top w:val="single" w:sz="4" w:space="0" w:color="auto"/>
            </w:tcBorders>
            <w:vAlign w:val="bottom"/>
          </w:tcPr>
          <w:p w14:paraId="70D6A625" w14:textId="77777777" w:rsidR="00C20A08" w:rsidRPr="006B7608" w:rsidRDefault="00C20A08" w:rsidP="00E96B7F">
            <w:pPr>
              <w:jc w:val="center"/>
              <w:rPr>
                <w:sz w:val="22"/>
                <w:highlight w:val="cyan"/>
              </w:rPr>
            </w:pPr>
            <w:r w:rsidRPr="006B7608">
              <w:rPr>
                <w:sz w:val="22"/>
                <w:highlight w:val="cyan"/>
              </w:rPr>
              <w:t>3.42</w:t>
            </w:r>
          </w:p>
        </w:tc>
        <w:tc>
          <w:tcPr>
            <w:tcW w:w="900" w:type="dxa"/>
            <w:tcBorders>
              <w:top w:val="single" w:sz="4" w:space="0" w:color="auto"/>
            </w:tcBorders>
            <w:vAlign w:val="bottom"/>
          </w:tcPr>
          <w:p w14:paraId="75B0DBF7" w14:textId="77777777" w:rsidR="00C20A08" w:rsidRPr="006B7608" w:rsidRDefault="00C20A08" w:rsidP="00E96B7F">
            <w:pPr>
              <w:jc w:val="center"/>
              <w:rPr>
                <w:sz w:val="22"/>
                <w:highlight w:val="cyan"/>
              </w:rPr>
            </w:pPr>
            <w:r w:rsidRPr="006B7608">
              <w:rPr>
                <w:sz w:val="22"/>
                <w:highlight w:val="cyan"/>
              </w:rPr>
              <w:t>0.45</w:t>
            </w:r>
          </w:p>
        </w:tc>
        <w:tc>
          <w:tcPr>
            <w:tcW w:w="930" w:type="dxa"/>
            <w:tcBorders>
              <w:top w:val="single" w:sz="4" w:space="0" w:color="auto"/>
            </w:tcBorders>
            <w:vAlign w:val="bottom"/>
          </w:tcPr>
          <w:p w14:paraId="1CF37CC2" w14:textId="77777777" w:rsidR="00C20A08" w:rsidRPr="006B7608" w:rsidRDefault="00C20A08" w:rsidP="00E96B7F">
            <w:pPr>
              <w:jc w:val="center"/>
              <w:rPr>
                <w:sz w:val="22"/>
                <w:highlight w:val="cyan"/>
              </w:rPr>
            </w:pPr>
            <w:r w:rsidRPr="006B7608">
              <w:rPr>
                <w:sz w:val="22"/>
                <w:highlight w:val="cyan"/>
              </w:rPr>
              <w:t>5.36</w:t>
            </w:r>
          </w:p>
        </w:tc>
        <w:tc>
          <w:tcPr>
            <w:tcW w:w="930" w:type="dxa"/>
            <w:tcBorders>
              <w:top w:val="single" w:sz="4" w:space="0" w:color="auto"/>
            </w:tcBorders>
            <w:vAlign w:val="bottom"/>
          </w:tcPr>
          <w:p w14:paraId="4405D2DA" w14:textId="77777777" w:rsidR="00C20A08" w:rsidRPr="006B7608" w:rsidRDefault="00C20A08" w:rsidP="00E96B7F">
            <w:pPr>
              <w:jc w:val="center"/>
              <w:rPr>
                <w:sz w:val="22"/>
                <w:highlight w:val="cyan"/>
              </w:rPr>
            </w:pPr>
            <w:r w:rsidRPr="006B7608">
              <w:rPr>
                <w:sz w:val="22"/>
                <w:highlight w:val="cyan"/>
              </w:rPr>
              <w:t>19.61</w:t>
            </w:r>
          </w:p>
        </w:tc>
        <w:tc>
          <w:tcPr>
            <w:tcW w:w="930" w:type="dxa"/>
            <w:tcBorders>
              <w:top w:val="single" w:sz="4" w:space="0" w:color="auto"/>
            </w:tcBorders>
            <w:vAlign w:val="bottom"/>
          </w:tcPr>
          <w:p w14:paraId="2E76CDC3" w14:textId="77777777" w:rsidR="00C20A08" w:rsidRPr="006B7608" w:rsidRDefault="00C20A08" w:rsidP="00E96B7F">
            <w:pPr>
              <w:jc w:val="center"/>
              <w:rPr>
                <w:sz w:val="22"/>
                <w:highlight w:val="cyan"/>
              </w:rPr>
            </w:pPr>
            <w:r w:rsidRPr="006B7608">
              <w:rPr>
                <w:sz w:val="22"/>
                <w:highlight w:val="cyan"/>
              </w:rPr>
              <w:t>5.75</w:t>
            </w:r>
          </w:p>
        </w:tc>
        <w:tc>
          <w:tcPr>
            <w:tcW w:w="900" w:type="dxa"/>
            <w:tcBorders>
              <w:top w:val="single" w:sz="4" w:space="0" w:color="auto"/>
            </w:tcBorders>
            <w:vAlign w:val="bottom"/>
          </w:tcPr>
          <w:p w14:paraId="1EC08024" w14:textId="77777777" w:rsidR="00C20A08" w:rsidRPr="006B7608" w:rsidRDefault="00C20A08" w:rsidP="00E96B7F">
            <w:pPr>
              <w:jc w:val="center"/>
              <w:rPr>
                <w:sz w:val="22"/>
                <w:highlight w:val="cyan"/>
              </w:rPr>
            </w:pPr>
            <w:r w:rsidRPr="006B7608">
              <w:rPr>
                <w:sz w:val="22"/>
                <w:highlight w:val="cyan"/>
              </w:rPr>
              <w:t>9.78</w:t>
            </w:r>
          </w:p>
        </w:tc>
        <w:tc>
          <w:tcPr>
            <w:tcW w:w="930" w:type="dxa"/>
            <w:tcBorders>
              <w:top w:val="single" w:sz="4" w:space="0" w:color="auto"/>
            </w:tcBorders>
            <w:vAlign w:val="bottom"/>
          </w:tcPr>
          <w:p w14:paraId="5A00B7CC" w14:textId="77777777" w:rsidR="00C20A08" w:rsidRPr="006B7608" w:rsidRDefault="00C20A08" w:rsidP="00E96B7F">
            <w:pPr>
              <w:jc w:val="center"/>
              <w:rPr>
                <w:sz w:val="22"/>
                <w:highlight w:val="cyan"/>
              </w:rPr>
            </w:pPr>
            <w:r w:rsidRPr="006B7608">
              <w:rPr>
                <w:sz w:val="22"/>
                <w:highlight w:val="cyan"/>
              </w:rPr>
              <w:t>15.54</w:t>
            </w:r>
          </w:p>
        </w:tc>
        <w:tc>
          <w:tcPr>
            <w:tcW w:w="930" w:type="dxa"/>
            <w:tcBorders>
              <w:top w:val="single" w:sz="4" w:space="0" w:color="auto"/>
              <w:right w:val="single" w:sz="4" w:space="0" w:color="BFBFBF" w:themeColor="background1" w:themeShade="BF"/>
            </w:tcBorders>
            <w:vAlign w:val="bottom"/>
          </w:tcPr>
          <w:p w14:paraId="6897FB54" w14:textId="77777777" w:rsidR="00C20A08" w:rsidRPr="006B7608" w:rsidRDefault="00C20A08" w:rsidP="00E96B7F">
            <w:pPr>
              <w:jc w:val="center"/>
              <w:rPr>
                <w:sz w:val="22"/>
                <w:highlight w:val="cyan"/>
              </w:rPr>
            </w:pPr>
            <w:r w:rsidRPr="006B7608">
              <w:rPr>
                <w:sz w:val="22"/>
                <w:highlight w:val="cyan"/>
              </w:rPr>
              <w:t>50.46</w:t>
            </w:r>
          </w:p>
        </w:tc>
        <w:tc>
          <w:tcPr>
            <w:tcW w:w="1166" w:type="dxa"/>
            <w:tcBorders>
              <w:top w:val="single" w:sz="4" w:space="0" w:color="auto"/>
              <w:left w:val="single" w:sz="4" w:space="0" w:color="BFBFBF" w:themeColor="background1" w:themeShade="BF"/>
              <w:right w:val="single" w:sz="4" w:space="0" w:color="BFBFBF" w:themeColor="background1" w:themeShade="BF"/>
            </w:tcBorders>
            <w:vAlign w:val="bottom"/>
          </w:tcPr>
          <w:p w14:paraId="2991A6C6" w14:textId="77777777" w:rsidR="00C20A08" w:rsidRPr="006B7608" w:rsidRDefault="00C20A08" w:rsidP="00E96B7F">
            <w:pPr>
              <w:jc w:val="center"/>
              <w:rPr>
                <w:sz w:val="22"/>
                <w:highlight w:val="cyan"/>
              </w:rPr>
            </w:pPr>
            <w:r w:rsidRPr="006B7608">
              <w:rPr>
                <w:sz w:val="22"/>
                <w:highlight w:val="cyan"/>
              </w:rPr>
              <w:t>483.1</w:t>
            </w:r>
          </w:p>
        </w:tc>
        <w:tc>
          <w:tcPr>
            <w:tcW w:w="797" w:type="dxa"/>
            <w:tcBorders>
              <w:top w:val="single" w:sz="4" w:space="0" w:color="auto"/>
              <w:left w:val="single" w:sz="4" w:space="0" w:color="BFBFBF" w:themeColor="background1" w:themeShade="BF"/>
              <w:right w:val="single" w:sz="4" w:space="0" w:color="BFBFBF" w:themeColor="background1" w:themeShade="BF"/>
            </w:tcBorders>
            <w:vAlign w:val="bottom"/>
          </w:tcPr>
          <w:p w14:paraId="53B7CAED" w14:textId="77777777" w:rsidR="00C20A08" w:rsidRPr="006B7608" w:rsidRDefault="00C20A08" w:rsidP="00E96B7F">
            <w:pPr>
              <w:jc w:val="center"/>
              <w:rPr>
                <w:sz w:val="22"/>
                <w:highlight w:val="cyan"/>
              </w:rPr>
            </w:pPr>
            <w:r w:rsidRPr="006B7608">
              <w:rPr>
                <w:sz w:val="22"/>
                <w:highlight w:val="cyan"/>
              </w:rPr>
              <w:t>3,696</w:t>
            </w:r>
          </w:p>
        </w:tc>
      </w:tr>
      <w:tr w:rsidR="00C20A08" w:rsidRPr="001E6C3F" w14:paraId="16FCD92E" w14:textId="77777777" w:rsidTr="00E96B7F">
        <w:tc>
          <w:tcPr>
            <w:tcW w:w="1615" w:type="dxa"/>
            <w:tcBorders>
              <w:left w:val="single" w:sz="4" w:space="0" w:color="BFBFBF" w:themeColor="background1" w:themeShade="BF"/>
              <w:bottom w:val="single" w:sz="4" w:space="0" w:color="auto"/>
              <w:right w:val="single" w:sz="4" w:space="0" w:color="BFBFBF" w:themeColor="background1" w:themeShade="BF"/>
            </w:tcBorders>
            <w:vAlign w:val="bottom"/>
          </w:tcPr>
          <w:p w14:paraId="4D087473" w14:textId="77777777" w:rsidR="00C20A08" w:rsidRPr="001E6C3F" w:rsidRDefault="00C20A08" w:rsidP="00E96B7F">
            <w:pPr>
              <w:rPr>
                <w:sz w:val="22"/>
              </w:rPr>
            </w:pPr>
            <w:r w:rsidRPr="001E6C3F">
              <w:rPr>
                <w:sz w:val="22"/>
              </w:rPr>
              <w:t>No Build compared to Existing</w:t>
            </w:r>
          </w:p>
        </w:tc>
        <w:tc>
          <w:tcPr>
            <w:tcW w:w="810" w:type="dxa"/>
            <w:tcBorders>
              <w:left w:val="single" w:sz="4" w:space="0" w:color="BFBFBF" w:themeColor="background1" w:themeShade="BF"/>
              <w:bottom w:val="single" w:sz="4" w:space="0" w:color="auto"/>
              <w:right w:val="single" w:sz="4" w:space="0" w:color="BFBFBF" w:themeColor="background1" w:themeShade="BF"/>
            </w:tcBorders>
            <w:vAlign w:val="bottom"/>
          </w:tcPr>
          <w:p w14:paraId="58684E85" w14:textId="77777777" w:rsidR="00C20A08" w:rsidRPr="006B7608" w:rsidRDefault="00C20A08" w:rsidP="00E96B7F">
            <w:pPr>
              <w:jc w:val="center"/>
              <w:rPr>
                <w:sz w:val="22"/>
                <w:highlight w:val="cyan"/>
              </w:rPr>
            </w:pPr>
            <w:r w:rsidRPr="006B7608">
              <w:rPr>
                <w:sz w:val="22"/>
                <w:highlight w:val="cyan"/>
              </w:rPr>
              <w:t>55%</w:t>
            </w:r>
          </w:p>
        </w:tc>
        <w:tc>
          <w:tcPr>
            <w:tcW w:w="900" w:type="dxa"/>
            <w:tcBorders>
              <w:left w:val="single" w:sz="4" w:space="0" w:color="BFBFBF" w:themeColor="background1" w:themeShade="BF"/>
              <w:bottom w:val="single" w:sz="4" w:space="0" w:color="auto"/>
            </w:tcBorders>
            <w:vAlign w:val="bottom"/>
          </w:tcPr>
          <w:p w14:paraId="34992FFD" w14:textId="77777777" w:rsidR="00C20A08" w:rsidRPr="006B7608" w:rsidRDefault="00C20A08" w:rsidP="00E96B7F">
            <w:pPr>
              <w:jc w:val="center"/>
              <w:rPr>
                <w:sz w:val="22"/>
                <w:highlight w:val="cyan"/>
              </w:rPr>
            </w:pPr>
            <w:r w:rsidRPr="006B7608">
              <w:rPr>
                <w:sz w:val="22"/>
                <w:highlight w:val="cyan"/>
              </w:rPr>
              <w:t>-99%</w:t>
            </w:r>
          </w:p>
        </w:tc>
        <w:tc>
          <w:tcPr>
            <w:tcW w:w="900" w:type="dxa"/>
            <w:tcBorders>
              <w:bottom w:val="single" w:sz="4" w:space="0" w:color="auto"/>
            </w:tcBorders>
            <w:vAlign w:val="bottom"/>
          </w:tcPr>
          <w:p w14:paraId="73D2D76C" w14:textId="77777777" w:rsidR="00C20A08" w:rsidRPr="006B7608" w:rsidRDefault="00C20A08" w:rsidP="00E96B7F">
            <w:pPr>
              <w:jc w:val="center"/>
              <w:rPr>
                <w:sz w:val="22"/>
                <w:highlight w:val="cyan"/>
              </w:rPr>
            </w:pPr>
            <w:r w:rsidRPr="006B7608">
              <w:rPr>
                <w:sz w:val="22"/>
                <w:highlight w:val="cyan"/>
              </w:rPr>
              <w:t>-92%</w:t>
            </w:r>
          </w:p>
        </w:tc>
        <w:tc>
          <w:tcPr>
            <w:tcW w:w="900" w:type="dxa"/>
            <w:tcBorders>
              <w:bottom w:val="single" w:sz="4" w:space="0" w:color="auto"/>
            </w:tcBorders>
            <w:vAlign w:val="bottom"/>
          </w:tcPr>
          <w:p w14:paraId="7A9F3441" w14:textId="77777777" w:rsidR="00C20A08" w:rsidRPr="006B7608" w:rsidRDefault="00C20A08" w:rsidP="00E96B7F">
            <w:pPr>
              <w:jc w:val="center"/>
              <w:rPr>
                <w:sz w:val="22"/>
                <w:highlight w:val="cyan"/>
              </w:rPr>
            </w:pPr>
            <w:r w:rsidRPr="006B7608">
              <w:rPr>
                <w:sz w:val="22"/>
                <w:highlight w:val="cyan"/>
              </w:rPr>
              <w:t>-90%</w:t>
            </w:r>
          </w:p>
        </w:tc>
        <w:tc>
          <w:tcPr>
            <w:tcW w:w="930" w:type="dxa"/>
            <w:tcBorders>
              <w:bottom w:val="single" w:sz="4" w:space="0" w:color="auto"/>
            </w:tcBorders>
            <w:vAlign w:val="bottom"/>
          </w:tcPr>
          <w:p w14:paraId="48A4A2B7" w14:textId="77777777" w:rsidR="00C20A08" w:rsidRPr="006B7608" w:rsidRDefault="00C20A08" w:rsidP="00E96B7F">
            <w:pPr>
              <w:jc w:val="center"/>
              <w:rPr>
                <w:sz w:val="22"/>
                <w:highlight w:val="cyan"/>
              </w:rPr>
            </w:pPr>
            <w:r w:rsidRPr="006B7608">
              <w:rPr>
                <w:sz w:val="22"/>
                <w:highlight w:val="cyan"/>
              </w:rPr>
              <w:t>-95%</w:t>
            </w:r>
          </w:p>
        </w:tc>
        <w:tc>
          <w:tcPr>
            <w:tcW w:w="930" w:type="dxa"/>
            <w:tcBorders>
              <w:bottom w:val="single" w:sz="4" w:space="0" w:color="auto"/>
            </w:tcBorders>
            <w:vAlign w:val="bottom"/>
          </w:tcPr>
          <w:p w14:paraId="6F031F1E" w14:textId="77777777" w:rsidR="00C20A08" w:rsidRPr="006B7608" w:rsidRDefault="00C20A08" w:rsidP="00E96B7F">
            <w:pPr>
              <w:jc w:val="center"/>
              <w:rPr>
                <w:sz w:val="22"/>
                <w:highlight w:val="cyan"/>
              </w:rPr>
            </w:pPr>
            <w:r w:rsidRPr="006B7608">
              <w:rPr>
                <w:sz w:val="22"/>
                <w:highlight w:val="cyan"/>
              </w:rPr>
              <w:t>-94%</w:t>
            </w:r>
          </w:p>
        </w:tc>
        <w:tc>
          <w:tcPr>
            <w:tcW w:w="930" w:type="dxa"/>
            <w:tcBorders>
              <w:bottom w:val="single" w:sz="4" w:space="0" w:color="auto"/>
            </w:tcBorders>
            <w:vAlign w:val="bottom"/>
          </w:tcPr>
          <w:p w14:paraId="65CDBD87" w14:textId="77777777" w:rsidR="00C20A08" w:rsidRPr="006B7608" w:rsidRDefault="00C20A08" w:rsidP="00E96B7F">
            <w:pPr>
              <w:jc w:val="center"/>
              <w:rPr>
                <w:sz w:val="22"/>
                <w:highlight w:val="cyan"/>
              </w:rPr>
            </w:pPr>
            <w:r w:rsidRPr="006B7608">
              <w:rPr>
                <w:sz w:val="22"/>
                <w:highlight w:val="cyan"/>
              </w:rPr>
              <w:t>-89%</w:t>
            </w:r>
          </w:p>
        </w:tc>
        <w:tc>
          <w:tcPr>
            <w:tcW w:w="900" w:type="dxa"/>
            <w:tcBorders>
              <w:bottom w:val="single" w:sz="4" w:space="0" w:color="auto"/>
            </w:tcBorders>
            <w:vAlign w:val="bottom"/>
          </w:tcPr>
          <w:p w14:paraId="20ECD928" w14:textId="77777777" w:rsidR="00C20A08" w:rsidRPr="006B7608" w:rsidRDefault="00C20A08" w:rsidP="00E96B7F">
            <w:pPr>
              <w:jc w:val="center"/>
              <w:rPr>
                <w:sz w:val="22"/>
                <w:highlight w:val="cyan"/>
              </w:rPr>
            </w:pPr>
            <w:r w:rsidRPr="006B7608">
              <w:rPr>
                <w:sz w:val="22"/>
                <w:highlight w:val="cyan"/>
              </w:rPr>
              <w:t>-85%</w:t>
            </w:r>
          </w:p>
        </w:tc>
        <w:tc>
          <w:tcPr>
            <w:tcW w:w="930" w:type="dxa"/>
            <w:tcBorders>
              <w:bottom w:val="single" w:sz="4" w:space="0" w:color="auto"/>
            </w:tcBorders>
            <w:vAlign w:val="bottom"/>
          </w:tcPr>
          <w:p w14:paraId="3953A9B3" w14:textId="77777777" w:rsidR="00C20A08" w:rsidRPr="006B7608" w:rsidRDefault="00C20A08" w:rsidP="00E96B7F">
            <w:pPr>
              <w:jc w:val="center"/>
              <w:rPr>
                <w:sz w:val="22"/>
                <w:highlight w:val="cyan"/>
              </w:rPr>
            </w:pPr>
            <w:r w:rsidRPr="006B7608">
              <w:rPr>
                <w:sz w:val="22"/>
                <w:highlight w:val="cyan"/>
              </w:rPr>
              <w:t>-87%</w:t>
            </w:r>
          </w:p>
        </w:tc>
        <w:tc>
          <w:tcPr>
            <w:tcW w:w="930" w:type="dxa"/>
            <w:tcBorders>
              <w:bottom w:val="single" w:sz="4" w:space="0" w:color="auto"/>
              <w:right w:val="single" w:sz="4" w:space="0" w:color="BFBFBF" w:themeColor="background1" w:themeShade="BF"/>
            </w:tcBorders>
            <w:vAlign w:val="bottom"/>
          </w:tcPr>
          <w:p w14:paraId="59A20D85" w14:textId="77777777" w:rsidR="00C20A08" w:rsidRPr="006B7608" w:rsidRDefault="00C20A08" w:rsidP="00E96B7F">
            <w:pPr>
              <w:jc w:val="center"/>
              <w:rPr>
                <w:sz w:val="22"/>
                <w:highlight w:val="cyan"/>
              </w:rPr>
            </w:pPr>
            <w:r w:rsidRPr="006B7608">
              <w:rPr>
                <w:sz w:val="22"/>
                <w:highlight w:val="cyan"/>
              </w:rPr>
              <w:t>-89%</w:t>
            </w:r>
          </w:p>
        </w:tc>
        <w:tc>
          <w:tcPr>
            <w:tcW w:w="1166" w:type="dxa"/>
            <w:tcBorders>
              <w:left w:val="single" w:sz="4" w:space="0" w:color="BFBFBF" w:themeColor="background1" w:themeShade="BF"/>
              <w:bottom w:val="single" w:sz="4" w:space="0" w:color="auto"/>
              <w:right w:val="single" w:sz="4" w:space="0" w:color="BFBFBF" w:themeColor="background1" w:themeShade="BF"/>
            </w:tcBorders>
            <w:vAlign w:val="bottom"/>
          </w:tcPr>
          <w:p w14:paraId="38ED8AD2" w14:textId="77777777" w:rsidR="00C20A08" w:rsidRPr="006B7608" w:rsidRDefault="00C20A08" w:rsidP="00E96B7F">
            <w:pPr>
              <w:jc w:val="center"/>
              <w:rPr>
                <w:sz w:val="22"/>
                <w:highlight w:val="cyan"/>
              </w:rPr>
            </w:pPr>
            <w:r w:rsidRPr="006B7608">
              <w:rPr>
                <w:sz w:val="22"/>
                <w:highlight w:val="cyan"/>
              </w:rPr>
              <w:t>1%</w:t>
            </w:r>
          </w:p>
        </w:tc>
        <w:tc>
          <w:tcPr>
            <w:tcW w:w="797" w:type="dxa"/>
            <w:tcBorders>
              <w:left w:val="single" w:sz="4" w:space="0" w:color="BFBFBF" w:themeColor="background1" w:themeShade="BF"/>
              <w:bottom w:val="single" w:sz="4" w:space="0" w:color="auto"/>
              <w:right w:val="single" w:sz="4" w:space="0" w:color="BFBFBF" w:themeColor="background1" w:themeShade="BF"/>
            </w:tcBorders>
            <w:vAlign w:val="bottom"/>
          </w:tcPr>
          <w:p w14:paraId="0BF37C86" w14:textId="77777777" w:rsidR="00C20A08" w:rsidRPr="006B7608" w:rsidRDefault="00C20A08" w:rsidP="00E96B7F">
            <w:pPr>
              <w:jc w:val="center"/>
              <w:rPr>
                <w:sz w:val="22"/>
                <w:highlight w:val="cyan"/>
              </w:rPr>
            </w:pPr>
            <w:r w:rsidRPr="006B7608">
              <w:rPr>
                <w:sz w:val="22"/>
                <w:highlight w:val="cyan"/>
              </w:rPr>
              <w:t>0%</w:t>
            </w:r>
          </w:p>
        </w:tc>
      </w:tr>
      <w:tr w:rsidR="00C20A08" w:rsidRPr="001E6C3F" w14:paraId="7865AC3D" w14:textId="77777777" w:rsidTr="00E96B7F">
        <w:tc>
          <w:tcPr>
            <w:tcW w:w="1615" w:type="dxa"/>
            <w:tcBorders>
              <w:top w:val="single" w:sz="4" w:space="0" w:color="auto"/>
              <w:left w:val="single" w:sz="4" w:space="0" w:color="BFBFBF" w:themeColor="background1" w:themeShade="BF"/>
              <w:right w:val="single" w:sz="4" w:space="0" w:color="BFBFBF" w:themeColor="background1" w:themeShade="BF"/>
            </w:tcBorders>
            <w:vAlign w:val="bottom"/>
          </w:tcPr>
          <w:p w14:paraId="7D246B89" w14:textId="77777777" w:rsidR="00C20A08" w:rsidRPr="001E6C3F" w:rsidRDefault="00C20A08" w:rsidP="00E96B7F">
            <w:pPr>
              <w:rPr>
                <w:sz w:val="22"/>
              </w:rPr>
            </w:pPr>
            <w:r w:rsidRPr="001E6C3F">
              <w:rPr>
                <w:sz w:val="22"/>
              </w:rPr>
              <w:t>Build (</w:t>
            </w:r>
            <w:r w:rsidRPr="006B7608">
              <w:rPr>
                <w:sz w:val="22"/>
                <w:highlight w:val="cyan"/>
              </w:rPr>
              <w:t>2040</w:t>
            </w:r>
            <w:r w:rsidRPr="001E6C3F">
              <w:rPr>
                <w:sz w:val="22"/>
              </w:rPr>
              <w:t>)</w:t>
            </w:r>
          </w:p>
        </w:tc>
        <w:tc>
          <w:tcPr>
            <w:tcW w:w="810" w:type="dxa"/>
            <w:tcBorders>
              <w:top w:val="single" w:sz="4" w:space="0" w:color="auto"/>
              <w:left w:val="single" w:sz="4" w:space="0" w:color="BFBFBF" w:themeColor="background1" w:themeShade="BF"/>
              <w:right w:val="single" w:sz="4" w:space="0" w:color="BFBFBF" w:themeColor="background1" w:themeShade="BF"/>
            </w:tcBorders>
            <w:vAlign w:val="bottom"/>
          </w:tcPr>
          <w:p w14:paraId="793E5EF4" w14:textId="77777777" w:rsidR="00C20A08" w:rsidRPr="006B7608" w:rsidRDefault="00C20A08" w:rsidP="00E96B7F">
            <w:pPr>
              <w:jc w:val="center"/>
              <w:rPr>
                <w:sz w:val="22"/>
                <w:highlight w:val="cyan"/>
              </w:rPr>
            </w:pPr>
          </w:p>
        </w:tc>
        <w:tc>
          <w:tcPr>
            <w:tcW w:w="900" w:type="dxa"/>
            <w:tcBorders>
              <w:top w:val="single" w:sz="4" w:space="0" w:color="auto"/>
              <w:left w:val="single" w:sz="4" w:space="0" w:color="BFBFBF" w:themeColor="background1" w:themeShade="BF"/>
            </w:tcBorders>
            <w:vAlign w:val="bottom"/>
          </w:tcPr>
          <w:p w14:paraId="68CD9DF7" w14:textId="77777777" w:rsidR="00C20A08" w:rsidRPr="006B7608" w:rsidRDefault="00C20A08" w:rsidP="00E96B7F">
            <w:pPr>
              <w:jc w:val="center"/>
              <w:rPr>
                <w:sz w:val="22"/>
                <w:highlight w:val="cyan"/>
              </w:rPr>
            </w:pPr>
            <w:r w:rsidRPr="006B7608">
              <w:rPr>
                <w:sz w:val="22"/>
                <w:highlight w:val="cyan"/>
              </w:rPr>
              <w:t>0.02</w:t>
            </w:r>
          </w:p>
        </w:tc>
        <w:tc>
          <w:tcPr>
            <w:tcW w:w="900" w:type="dxa"/>
            <w:tcBorders>
              <w:top w:val="single" w:sz="4" w:space="0" w:color="auto"/>
            </w:tcBorders>
            <w:vAlign w:val="bottom"/>
          </w:tcPr>
          <w:p w14:paraId="3331F927" w14:textId="77777777" w:rsidR="00C20A08" w:rsidRPr="006B7608" w:rsidRDefault="00C20A08" w:rsidP="00E96B7F">
            <w:pPr>
              <w:jc w:val="center"/>
              <w:rPr>
                <w:sz w:val="22"/>
                <w:highlight w:val="cyan"/>
              </w:rPr>
            </w:pPr>
            <w:r w:rsidRPr="006B7608">
              <w:rPr>
                <w:sz w:val="22"/>
                <w:highlight w:val="cyan"/>
              </w:rPr>
              <w:t>2.86</w:t>
            </w:r>
          </w:p>
        </w:tc>
        <w:tc>
          <w:tcPr>
            <w:tcW w:w="900" w:type="dxa"/>
            <w:tcBorders>
              <w:top w:val="single" w:sz="4" w:space="0" w:color="auto"/>
            </w:tcBorders>
            <w:vAlign w:val="bottom"/>
          </w:tcPr>
          <w:p w14:paraId="1F3020A4" w14:textId="77777777" w:rsidR="00C20A08" w:rsidRPr="006B7608" w:rsidRDefault="00C20A08" w:rsidP="00E96B7F">
            <w:pPr>
              <w:jc w:val="center"/>
              <w:rPr>
                <w:sz w:val="22"/>
                <w:highlight w:val="cyan"/>
              </w:rPr>
            </w:pPr>
            <w:r w:rsidRPr="006B7608">
              <w:rPr>
                <w:sz w:val="22"/>
                <w:highlight w:val="cyan"/>
              </w:rPr>
              <w:t>0.37</w:t>
            </w:r>
          </w:p>
        </w:tc>
        <w:tc>
          <w:tcPr>
            <w:tcW w:w="930" w:type="dxa"/>
            <w:tcBorders>
              <w:top w:val="single" w:sz="4" w:space="0" w:color="auto"/>
            </w:tcBorders>
            <w:vAlign w:val="bottom"/>
          </w:tcPr>
          <w:p w14:paraId="1460F465" w14:textId="77777777" w:rsidR="00C20A08" w:rsidRPr="006B7608" w:rsidRDefault="00C20A08" w:rsidP="00E96B7F">
            <w:pPr>
              <w:jc w:val="center"/>
              <w:rPr>
                <w:sz w:val="22"/>
                <w:highlight w:val="cyan"/>
              </w:rPr>
            </w:pPr>
            <w:r w:rsidRPr="006B7608">
              <w:rPr>
                <w:sz w:val="22"/>
                <w:highlight w:val="cyan"/>
              </w:rPr>
              <w:t>4.52</w:t>
            </w:r>
          </w:p>
        </w:tc>
        <w:tc>
          <w:tcPr>
            <w:tcW w:w="930" w:type="dxa"/>
            <w:tcBorders>
              <w:top w:val="single" w:sz="4" w:space="0" w:color="auto"/>
            </w:tcBorders>
            <w:vAlign w:val="bottom"/>
          </w:tcPr>
          <w:p w14:paraId="668C7EBC" w14:textId="77777777" w:rsidR="00C20A08" w:rsidRPr="006B7608" w:rsidRDefault="00C20A08" w:rsidP="00E96B7F">
            <w:pPr>
              <w:jc w:val="center"/>
              <w:rPr>
                <w:sz w:val="22"/>
                <w:highlight w:val="cyan"/>
              </w:rPr>
            </w:pPr>
            <w:r w:rsidRPr="006B7608">
              <w:rPr>
                <w:sz w:val="22"/>
                <w:highlight w:val="cyan"/>
              </w:rPr>
              <w:t>16.51</w:t>
            </w:r>
          </w:p>
        </w:tc>
        <w:tc>
          <w:tcPr>
            <w:tcW w:w="930" w:type="dxa"/>
            <w:tcBorders>
              <w:top w:val="single" w:sz="4" w:space="0" w:color="auto"/>
            </w:tcBorders>
            <w:vAlign w:val="bottom"/>
          </w:tcPr>
          <w:p w14:paraId="36E6ED68" w14:textId="77777777" w:rsidR="00C20A08" w:rsidRPr="006B7608" w:rsidRDefault="00C20A08" w:rsidP="00E96B7F">
            <w:pPr>
              <w:jc w:val="center"/>
              <w:rPr>
                <w:sz w:val="22"/>
                <w:highlight w:val="cyan"/>
              </w:rPr>
            </w:pPr>
            <w:r w:rsidRPr="006B7608">
              <w:rPr>
                <w:sz w:val="22"/>
                <w:highlight w:val="cyan"/>
              </w:rPr>
              <w:t>4.68</w:t>
            </w:r>
          </w:p>
        </w:tc>
        <w:tc>
          <w:tcPr>
            <w:tcW w:w="900" w:type="dxa"/>
            <w:tcBorders>
              <w:top w:val="single" w:sz="4" w:space="0" w:color="auto"/>
            </w:tcBorders>
            <w:vAlign w:val="bottom"/>
          </w:tcPr>
          <w:p w14:paraId="542E72F7" w14:textId="77777777" w:rsidR="00C20A08" w:rsidRPr="006B7608" w:rsidRDefault="00C20A08" w:rsidP="00E96B7F">
            <w:pPr>
              <w:jc w:val="center"/>
              <w:rPr>
                <w:sz w:val="22"/>
                <w:highlight w:val="cyan"/>
              </w:rPr>
            </w:pPr>
            <w:r w:rsidRPr="006B7608">
              <w:rPr>
                <w:sz w:val="22"/>
                <w:highlight w:val="cyan"/>
              </w:rPr>
              <w:t>8.12</w:t>
            </w:r>
          </w:p>
        </w:tc>
        <w:tc>
          <w:tcPr>
            <w:tcW w:w="930" w:type="dxa"/>
            <w:tcBorders>
              <w:top w:val="single" w:sz="4" w:space="0" w:color="auto"/>
            </w:tcBorders>
            <w:vAlign w:val="bottom"/>
          </w:tcPr>
          <w:p w14:paraId="14FD52D0" w14:textId="77777777" w:rsidR="00C20A08" w:rsidRPr="006B7608" w:rsidRDefault="00C20A08" w:rsidP="00E96B7F">
            <w:pPr>
              <w:jc w:val="center"/>
              <w:rPr>
                <w:sz w:val="22"/>
                <w:highlight w:val="cyan"/>
              </w:rPr>
            </w:pPr>
            <w:r w:rsidRPr="006B7608">
              <w:rPr>
                <w:sz w:val="22"/>
                <w:highlight w:val="cyan"/>
              </w:rPr>
              <w:t>12.79</w:t>
            </w:r>
          </w:p>
        </w:tc>
        <w:tc>
          <w:tcPr>
            <w:tcW w:w="930" w:type="dxa"/>
            <w:tcBorders>
              <w:top w:val="single" w:sz="4" w:space="0" w:color="auto"/>
              <w:right w:val="single" w:sz="4" w:space="0" w:color="BFBFBF" w:themeColor="background1" w:themeShade="BF"/>
            </w:tcBorders>
            <w:vAlign w:val="bottom"/>
          </w:tcPr>
          <w:p w14:paraId="555EAA50" w14:textId="77777777" w:rsidR="00C20A08" w:rsidRPr="006B7608" w:rsidRDefault="00C20A08" w:rsidP="00E96B7F">
            <w:pPr>
              <w:jc w:val="center"/>
              <w:rPr>
                <w:sz w:val="22"/>
                <w:highlight w:val="cyan"/>
              </w:rPr>
            </w:pPr>
            <w:r w:rsidRPr="006B7608">
              <w:rPr>
                <w:sz w:val="22"/>
                <w:highlight w:val="cyan"/>
              </w:rPr>
              <w:t>43.42</w:t>
            </w:r>
          </w:p>
        </w:tc>
        <w:tc>
          <w:tcPr>
            <w:tcW w:w="1166" w:type="dxa"/>
            <w:tcBorders>
              <w:top w:val="single" w:sz="4" w:space="0" w:color="auto"/>
              <w:left w:val="single" w:sz="4" w:space="0" w:color="BFBFBF" w:themeColor="background1" w:themeShade="BF"/>
              <w:right w:val="single" w:sz="4" w:space="0" w:color="BFBFBF" w:themeColor="background1" w:themeShade="BF"/>
            </w:tcBorders>
            <w:vAlign w:val="bottom"/>
          </w:tcPr>
          <w:p w14:paraId="2BB8941C" w14:textId="77777777" w:rsidR="00C20A08" w:rsidRPr="006B7608" w:rsidRDefault="00C20A08" w:rsidP="00E96B7F">
            <w:pPr>
              <w:jc w:val="center"/>
              <w:rPr>
                <w:sz w:val="22"/>
                <w:highlight w:val="cyan"/>
              </w:rPr>
            </w:pPr>
            <w:r w:rsidRPr="006B7608">
              <w:rPr>
                <w:sz w:val="22"/>
                <w:highlight w:val="cyan"/>
              </w:rPr>
              <w:t>411.0</w:t>
            </w:r>
          </w:p>
        </w:tc>
        <w:tc>
          <w:tcPr>
            <w:tcW w:w="797" w:type="dxa"/>
            <w:tcBorders>
              <w:top w:val="single" w:sz="4" w:space="0" w:color="auto"/>
              <w:left w:val="single" w:sz="4" w:space="0" w:color="BFBFBF" w:themeColor="background1" w:themeShade="BF"/>
              <w:right w:val="single" w:sz="4" w:space="0" w:color="BFBFBF" w:themeColor="background1" w:themeShade="BF"/>
            </w:tcBorders>
            <w:vAlign w:val="bottom"/>
          </w:tcPr>
          <w:p w14:paraId="6316AFDD" w14:textId="77777777" w:rsidR="00C20A08" w:rsidRPr="006B7608" w:rsidRDefault="00C20A08" w:rsidP="00E96B7F">
            <w:pPr>
              <w:jc w:val="center"/>
              <w:rPr>
                <w:sz w:val="22"/>
                <w:highlight w:val="cyan"/>
              </w:rPr>
            </w:pPr>
            <w:r w:rsidRPr="006B7608">
              <w:rPr>
                <w:sz w:val="22"/>
                <w:highlight w:val="cyan"/>
              </w:rPr>
              <w:t>3,145</w:t>
            </w:r>
          </w:p>
        </w:tc>
      </w:tr>
      <w:tr w:rsidR="00C20A08" w:rsidRPr="001E6C3F" w14:paraId="68DE15E3" w14:textId="77777777" w:rsidTr="00E96B7F">
        <w:tc>
          <w:tcPr>
            <w:tcW w:w="1615" w:type="dxa"/>
            <w:tcBorders>
              <w:left w:val="single" w:sz="4" w:space="0" w:color="BFBFBF" w:themeColor="background1" w:themeShade="BF"/>
              <w:right w:val="single" w:sz="4" w:space="0" w:color="BFBFBF" w:themeColor="background1" w:themeShade="BF"/>
            </w:tcBorders>
            <w:vAlign w:val="bottom"/>
          </w:tcPr>
          <w:p w14:paraId="6F8DA322" w14:textId="77777777" w:rsidR="00C20A08" w:rsidRPr="001E6C3F" w:rsidRDefault="00C20A08" w:rsidP="00E96B7F">
            <w:pPr>
              <w:rPr>
                <w:sz w:val="22"/>
              </w:rPr>
            </w:pPr>
            <w:r w:rsidRPr="001E6C3F">
              <w:rPr>
                <w:sz w:val="22"/>
              </w:rPr>
              <w:t>Build compared to Existing</w:t>
            </w:r>
          </w:p>
        </w:tc>
        <w:tc>
          <w:tcPr>
            <w:tcW w:w="810" w:type="dxa"/>
            <w:tcBorders>
              <w:left w:val="single" w:sz="4" w:space="0" w:color="BFBFBF" w:themeColor="background1" w:themeShade="BF"/>
              <w:right w:val="single" w:sz="4" w:space="0" w:color="BFBFBF" w:themeColor="background1" w:themeShade="BF"/>
            </w:tcBorders>
            <w:vAlign w:val="bottom"/>
          </w:tcPr>
          <w:p w14:paraId="27B83CAC" w14:textId="77777777" w:rsidR="00C20A08" w:rsidRPr="006B7608" w:rsidRDefault="00C20A08" w:rsidP="00E96B7F">
            <w:pPr>
              <w:jc w:val="center"/>
              <w:rPr>
                <w:sz w:val="22"/>
                <w:highlight w:val="cyan"/>
              </w:rPr>
            </w:pPr>
            <w:r w:rsidRPr="006B7608">
              <w:rPr>
                <w:sz w:val="22"/>
                <w:highlight w:val="cyan"/>
              </w:rPr>
              <w:t>36%</w:t>
            </w:r>
          </w:p>
        </w:tc>
        <w:tc>
          <w:tcPr>
            <w:tcW w:w="900" w:type="dxa"/>
            <w:tcBorders>
              <w:left w:val="single" w:sz="4" w:space="0" w:color="BFBFBF" w:themeColor="background1" w:themeShade="BF"/>
            </w:tcBorders>
            <w:vAlign w:val="bottom"/>
          </w:tcPr>
          <w:p w14:paraId="61FC6CEC" w14:textId="77777777" w:rsidR="00C20A08" w:rsidRPr="006B7608" w:rsidRDefault="00C20A08" w:rsidP="00E96B7F">
            <w:pPr>
              <w:jc w:val="center"/>
              <w:rPr>
                <w:sz w:val="22"/>
                <w:highlight w:val="cyan"/>
              </w:rPr>
            </w:pPr>
            <w:r w:rsidRPr="006B7608">
              <w:rPr>
                <w:sz w:val="22"/>
                <w:highlight w:val="cyan"/>
              </w:rPr>
              <w:t>-99%</w:t>
            </w:r>
          </w:p>
        </w:tc>
        <w:tc>
          <w:tcPr>
            <w:tcW w:w="900" w:type="dxa"/>
            <w:vAlign w:val="bottom"/>
          </w:tcPr>
          <w:p w14:paraId="2BEB7CCB" w14:textId="77777777" w:rsidR="00C20A08" w:rsidRPr="006B7608" w:rsidRDefault="00C20A08" w:rsidP="00E96B7F">
            <w:pPr>
              <w:jc w:val="center"/>
              <w:rPr>
                <w:sz w:val="22"/>
                <w:highlight w:val="cyan"/>
              </w:rPr>
            </w:pPr>
            <w:r w:rsidRPr="006B7608">
              <w:rPr>
                <w:sz w:val="22"/>
                <w:highlight w:val="cyan"/>
              </w:rPr>
              <w:t>-93%</w:t>
            </w:r>
          </w:p>
        </w:tc>
        <w:tc>
          <w:tcPr>
            <w:tcW w:w="900" w:type="dxa"/>
            <w:vAlign w:val="bottom"/>
          </w:tcPr>
          <w:p w14:paraId="041F302C" w14:textId="77777777" w:rsidR="00C20A08" w:rsidRPr="006B7608" w:rsidRDefault="00C20A08" w:rsidP="00E96B7F">
            <w:pPr>
              <w:jc w:val="center"/>
              <w:rPr>
                <w:sz w:val="22"/>
                <w:highlight w:val="cyan"/>
              </w:rPr>
            </w:pPr>
            <w:r w:rsidRPr="006B7608">
              <w:rPr>
                <w:sz w:val="22"/>
                <w:highlight w:val="cyan"/>
              </w:rPr>
              <w:t>-92%</w:t>
            </w:r>
          </w:p>
        </w:tc>
        <w:tc>
          <w:tcPr>
            <w:tcW w:w="930" w:type="dxa"/>
            <w:vAlign w:val="bottom"/>
          </w:tcPr>
          <w:p w14:paraId="3B87B2D8" w14:textId="77777777" w:rsidR="00C20A08" w:rsidRPr="006B7608" w:rsidRDefault="00C20A08" w:rsidP="00E96B7F">
            <w:pPr>
              <w:jc w:val="center"/>
              <w:rPr>
                <w:sz w:val="22"/>
                <w:highlight w:val="cyan"/>
              </w:rPr>
            </w:pPr>
            <w:r w:rsidRPr="006B7608">
              <w:rPr>
                <w:sz w:val="22"/>
                <w:highlight w:val="cyan"/>
              </w:rPr>
              <w:t>-96%</w:t>
            </w:r>
          </w:p>
        </w:tc>
        <w:tc>
          <w:tcPr>
            <w:tcW w:w="930" w:type="dxa"/>
            <w:vAlign w:val="bottom"/>
          </w:tcPr>
          <w:p w14:paraId="5FE4DE69" w14:textId="77777777" w:rsidR="00C20A08" w:rsidRPr="006B7608" w:rsidRDefault="00C20A08" w:rsidP="00E96B7F">
            <w:pPr>
              <w:jc w:val="center"/>
              <w:rPr>
                <w:sz w:val="22"/>
                <w:highlight w:val="cyan"/>
              </w:rPr>
            </w:pPr>
            <w:r w:rsidRPr="006B7608">
              <w:rPr>
                <w:sz w:val="22"/>
                <w:highlight w:val="cyan"/>
              </w:rPr>
              <w:t>-95%</w:t>
            </w:r>
          </w:p>
        </w:tc>
        <w:tc>
          <w:tcPr>
            <w:tcW w:w="930" w:type="dxa"/>
            <w:vAlign w:val="bottom"/>
          </w:tcPr>
          <w:p w14:paraId="6A354918" w14:textId="77777777" w:rsidR="00C20A08" w:rsidRPr="006B7608" w:rsidRDefault="00C20A08" w:rsidP="00E96B7F">
            <w:pPr>
              <w:jc w:val="center"/>
              <w:rPr>
                <w:sz w:val="22"/>
                <w:highlight w:val="cyan"/>
              </w:rPr>
            </w:pPr>
            <w:r w:rsidRPr="006B7608">
              <w:rPr>
                <w:sz w:val="22"/>
                <w:highlight w:val="cyan"/>
              </w:rPr>
              <w:t>-91%</w:t>
            </w:r>
          </w:p>
        </w:tc>
        <w:tc>
          <w:tcPr>
            <w:tcW w:w="900" w:type="dxa"/>
            <w:vAlign w:val="bottom"/>
          </w:tcPr>
          <w:p w14:paraId="19420D97" w14:textId="77777777" w:rsidR="00C20A08" w:rsidRPr="006B7608" w:rsidRDefault="00C20A08" w:rsidP="00E96B7F">
            <w:pPr>
              <w:jc w:val="center"/>
              <w:rPr>
                <w:sz w:val="22"/>
                <w:highlight w:val="cyan"/>
              </w:rPr>
            </w:pPr>
            <w:r w:rsidRPr="006B7608">
              <w:rPr>
                <w:sz w:val="22"/>
                <w:highlight w:val="cyan"/>
              </w:rPr>
              <w:t>-88%</w:t>
            </w:r>
          </w:p>
        </w:tc>
        <w:tc>
          <w:tcPr>
            <w:tcW w:w="930" w:type="dxa"/>
            <w:vAlign w:val="bottom"/>
          </w:tcPr>
          <w:p w14:paraId="1610149A" w14:textId="77777777" w:rsidR="00C20A08" w:rsidRPr="006B7608" w:rsidRDefault="00C20A08" w:rsidP="00E96B7F">
            <w:pPr>
              <w:jc w:val="center"/>
              <w:rPr>
                <w:sz w:val="22"/>
                <w:highlight w:val="cyan"/>
              </w:rPr>
            </w:pPr>
            <w:r w:rsidRPr="006B7608">
              <w:rPr>
                <w:sz w:val="22"/>
                <w:highlight w:val="cyan"/>
              </w:rPr>
              <w:t>-89%</w:t>
            </w:r>
          </w:p>
        </w:tc>
        <w:tc>
          <w:tcPr>
            <w:tcW w:w="930" w:type="dxa"/>
            <w:tcBorders>
              <w:right w:val="single" w:sz="4" w:space="0" w:color="BFBFBF" w:themeColor="background1" w:themeShade="BF"/>
            </w:tcBorders>
            <w:vAlign w:val="bottom"/>
          </w:tcPr>
          <w:p w14:paraId="01F31B03" w14:textId="77777777" w:rsidR="00C20A08" w:rsidRPr="006B7608" w:rsidRDefault="00C20A08" w:rsidP="00E96B7F">
            <w:pPr>
              <w:jc w:val="center"/>
              <w:rPr>
                <w:sz w:val="22"/>
                <w:highlight w:val="cyan"/>
              </w:rPr>
            </w:pPr>
            <w:r w:rsidRPr="006B7608">
              <w:rPr>
                <w:sz w:val="22"/>
                <w:highlight w:val="cyan"/>
              </w:rPr>
              <w:t>-91%</w:t>
            </w:r>
          </w:p>
        </w:tc>
        <w:tc>
          <w:tcPr>
            <w:tcW w:w="1166" w:type="dxa"/>
            <w:tcBorders>
              <w:left w:val="single" w:sz="4" w:space="0" w:color="BFBFBF" w:themeColor="background1" w:themeShade="BF"/>
              <w:right w:val="single" w:sz="4" w:space="0" w:color="BFBFBF" w:themeColor="background1" w:themeShade="BF"/>
            </w:tcBorders>
            <w:vAlign w:val="bottom"/>
          </w:tcPr>
          <w:p w14:paraId="665FE501" w14:textId="77777777" w:rsidR="00C20A08" w:rsidRPr="006B7608" w:rsidRDefault="00C20A08" w:rsidP="00E96B7F">
            <w:pPr>
              <w:jc w:val="center"/>
              <w:rPr>
                <w:sz w:val="22"/>
                <w:highlight w:val="cyan"/>
              </w:rPr>
            </w:pPr>
            <w:r w:rsidRPr="006B7608">
              <w:rPr>
                <w:sz w:val="22"/>
                <w:highlight w:val="cyan"/>
              </w:rPr>
              <w:t>-14%</w:t>
            </w:r>
          </w:p>
        </w:tc>
        <w:tc>
          <w:tcPr>
            <w:tcW w:w="797" w:type="dxa"/>
            <w:tcBorders>
              <w:left w:val="single" w:sz="4" w:space="0" w:color="BFBFBF" w:themeColor="background1" w:themeShade="BF"/>
              <w:right w:val="single" w:sz="4" w:space="0" w:color="BFBFBF" w:themeColor="background1" w:themeShade="BF"/>
            </w:tcBorders>
            <w:vAlign w:val="bottom"/>
          </w:tcPr>
          <w:p w14:paraId="07E149EF" w14:textId="77777777" w:rsidR="00C20A08" w:rsidRPr="006B7608" w:rsidRDefault="00C20A08" w:rsidP="00E96B7F">
            <w:pPr>
              <w:jc w:val="center"/>
              <w:rPr>
                <w:sz w:val="22"/>
                <w:highlight w:val="cyan"/>
              </w:rPr>
            </w:pPr>
            <w:r w:rsidRPr="006B7608">
              <w:rPr>
                <w:sz w:val="22"/>
                <w:highlight w:val="cyan"/>
              </w:rPr>
              <w:t>-15%</w:t>
            </w:r>
          </w:p>
        </w:tc>
      </w:tr>
      <w:tr w:rsidR="00C20A08" w:rsidRPr="001E6C3F" w14:paraId="66D0F06C" w14:textId="77777777" w:rsidTr="00E96B7F">
        <w:trPr>
          <w:trHeight w:val="296"/>
        </w:trPr>
        <w:tc>
          <w:tcPr>
            <w:tcW w:w="1615" w:type="dxa"/>
            <w:tcBorders>
              <w:left w:val="single" w:sz="4" w:space="0" w:color="BFBFBF" w:themeColor="background1" w:themeShade="BF"/>
              <w:right w:val="single" w:sz="4" w:space="0" w:color="BFBFBF" w:themeColor="background1" w:themeShade="BF"/>
            </w:tcBorders>
            <w:vAlign w:val="bottom"/>
          </w:tcPr>
          <w:p w14:paraId="2AFA8AEB" w14:textId="77777777" w:rsidR="00C20A08" w:rsidRPr="001E6C3F" w:rsidRDefault="00C20A08" w:rsidP="00E96B7F">
            <w:pPr>
              <w:rPr>
                <w:sz w:val="22"/>
              </w:rPr>
            </w:pPr>
            <w:r w:rsidRPr="001E6C3F">
              <w:rPr>
                <w:sz w:val="22"/>
              </w:rPr>
              <w:t>Build compared to No Build</w:t>
            </w:r>
          </w:p>
        </w:tc>
        <w:tc>
          <w:tcPr>
            <w:tcW w:w="810" w:type="dxa"/>
            <w:tcBorders>
              <w:left w:val="single" w:sz="4" w:space="0" w:color="BFBFBF" w:themeColor="background1" w:themeShade="BF"/>
              <w:right w:val="single" w:sz="4" w:space="0" w:color="BFBFBF" w:themeColor="background1" w:themeShade="BF"/>
            </w:tcBorders>
            <w:vAlign w:val="bottom"/>
          </w:tcPr>
          <w:p w14:paraId="68B030F6" w14:textId="77777777" w:rsidR="00C20A08" w:rsidRPr="006B7608" w:rsidRDefault="00C20A08" w:rsidP="00E96B7F">
            <w:pPr>
              <w:jc w:val="center"/>
              <w:rPr>
                <w:sz w:val="22"/>
                <w:highlight w:val="cyan"/>
              </w:rPr>
            </w:pPr>
            <w:r w:rsidRPr="006B7608">
              <w:rPr>
                <w:sz w:val="22"/>
                <w:highlight w:val="cyan"/>
              </w:rPr>
              <w:t>-12%</w:t>
            </w:r>
          </w:p>
        </w:tc>
        <w:tc>
          <w:tcPr>
            <w:tcW w:w="900" w:type="dxa"/>
            <w:tcBorders>
              <w:left w:val="single" w:sz="4" w:space="0" w:color="BFBFBF" w:themeColor="background1" w:themeShade="BF"/>
            </w:tcBorders>
            <w:vAlign w:val="bottom"/>
          </w:tcPr>
          <w:p w14:paraId="4A53342B" w14:textId="77777777" w:rsidR="00C20A08" w:rsidRPr="006B7608" w:rsidRDefault="00C20A08" w:rsidP="00E96B7F">
            <w:pPr>
              <w:jc w:val="center"/>
              <w:rPr>
                <w:sz w:val="22"/>
                <w:highlight w:val="cyan"/>
              </w:rPr>
            </w:pPr>
            <w:r w:rsidRPr="006B7608">
              <w:rPr>
                <w:sz w:val="22"/>
                <w:highlight w:val="cyan"/>
              </w:rPr>
              <w:t>-18%</w:t>
            </w:r>
          </w:p>
        </w:tc>
        <w:tc>
          <w:tcPr>
            <w:tcW w:w="900" w:type="dxa"/>
            <w:vAlign w:val="bottom"/>
          </w:tcPr>
          <w:p w14:paraId="7505378D" w14:textId="77777777" w:rsidR="00C20A08" w:rsidRPr="006B7608" w:rsidRDefault="00C20A08" w:rsidP="00E96B7F">
            <w:pPr>
              <w:jc w:val="center"/>
              <w:rPr>
                <w:sz w:val="22"/>
                <w:highlight w:val="cyan"/>
              </w:rPr>
            </w:pPr>
            <w:r w:rsidRPr="006B7608">
              <w:rPr>
                <w:sz w:val="22"/>
                <w:highlight w:val="cyan"/>
              </w:rPr>
              <w:t>-16%</w:t>
            </w:r>
          </w:p>
        </w:tc>
        <w:tc>
          <w:tcPr>
            <w:tcW w:w="900" w:type="dxa"/>
            <w:vAlign w:val="bottom"/>
          </w:tcPr>
          <w:p w14:paraId="64310592" w14:textId="77777777" w:rsidR="00C20A08" w:rsidRPr="006B7608" w:rsidRDefault="00C20A08" w:rsidP="00E96B7F">
            <w:pPr>
              <w:jc w:val="center"/>
              <w:rPr>
                <w:sz w:val="22"/>
                <w:highlight w:val="cyan"/>
              </w:rPr>
            </w:pPr>
            <w:r w:rsidRPr="006B7608">
              <w:rPr>
                <w:sz w:val="22"/>
                <w:highlight w:val="cyan"/>
              </w:rPr>
              <w:t>-17%</w:t>
            </w:r>
          </w:p>
        </w:tc>
        <w:tc>
          <w:tcPr>
            <w:tcW w:w="930" w:type="dxa"/>
            <w:vAlign w:val="bottom"/>
          </w:tcPr>
          <w:p w14:paraId="47AF9ADD" w14:textId="77777777" w:rsidR="00C20A08" w:rsidRPr="006B7608" w:rsidRDefault="00C20A08" w:rsidP="00E96B7F">
            <w:pPr>
              <w:jc w:val="center"/>
              <w:rPr>
                <w:sz w:val="22"/>
                <w:highlight w:val="cyan"/>
              </w:rPr>
            </w:pPr>
            <w:r w:rsidRPr="006B7608">
              <w:rPr>
                <w:sz w:val="22"/>
                <w:highlight w:val="cyan"/>
              </w:rPr>
              <w:t>-16%</w:t>
            </w:r>
          </w:p>
        </w:tc>
        <w:tc>
          <w:tcPr>
            <w:tcW w:w="930" w:type="dxa"/>
            <w:vAlign w:val="bottom"/>
          </w:tcPr>
          <w:p w14:paraId="36D4EE8C" w14:textId="77777777" w:rsidR="00C20A08" w:rsidRPr="006B7608" w:rsidRDefault="00C20A08" w:rsidP="00E96B7F">
            <w:pPr>
              <w:jc w:val="center"/>
              <w:rPr>
                <w:sz w:val="22"/>
                <w:highlight w:val="cyan"/>
              </w:rPr>
            </w:pPr>
            <w:r w:rsidRPr="006B7608">
              <w:rPr>
                <w:sz w:val="22"/>
                <w:highlight w:val="cyan"/>
              </w:rPr>
              <w:t>-16%</w:t>
            </w:r>
          </w:p>
        </w:tc>
        <w:tc>
          <w:tcPr>
            <w:tcW w:w="930" w:type="dxa"/>
            <w:vAlign w:val="bottom"/>
          </w:tcPr>
          <w:p w14:paraId="21D037AB" w14:textId="77777777" w:rsidR="00C20A08" w:rsidRPr="006B7608" w:rsidRDefault="00C20A08" w:rsidP="00E96B7F">
            <w:pPr>
              <w:jc w:val="center"/>
              <w:rPr>
                <w:sz w:val="22"/>
                <w:highlight w:val="cyan"/>
              </w:rPr>
            </w:pPr>
            <w:r w:rsidRPr="006B7608">
              <w:rPr>
                <w:sz w:val="22"/>
                <w:highlight w:val="cyan"/>
              </w:rPr>
              <w:t>-19%</w:t>
            </w:r>
          </w:p>
        </w:tc>
        <w:tc>
          <w:tcPr>
            <w:tcW w:w="900" w:type="dxa"/>
            <w:vAlign w:val="bottom"/>
          </w:tcPr>
          <w:p w14:paraId="4BF4678C" w14:textId="77777777" w:rsidR="00C20A08" w:rsidRPr="006B7608" w:rsidRDefault="00C20A08" w:rsidP="00E96B7F">
            <w:pPr>
              <w:jc w:val="center"/>
              <w:rPr>
                <w:sz w:val="22"/>
                <w:highlight w:val="cyan"/>
              </w:rPr>
            </w:pPr>
            <w:r w:rsidRPr="006B7608">
              <w:rPr>
                <w:sz w:val="22"/>
                <w:highlight w:val="cyan"/>
              </w:rPr>
              <w:t>-17%</w:t>
            </w:r>
          </w:p>
        </w:tc>
        <w:tc>
          <w:tcPr>
            <w:tcW w:w="930" w:type="dxa"/>
            <w:vAlign w:val="bottom"/>
          </w:tcPr>
          <w:p w14:paraId="7A354A2F" w14:textId="77777777" w:rsidR="00C20A08" w:rsidRPr="006B7608" w:rsidRDefault="00C20A08" w:rsidP="00E96B7F">
            <w:pPr>
              <w:jc w:val="center"/>
              <w:rPr>
                <w:sz w:val="22"/>
                <w:highlight w:val="cyan"/>
              </w:rPr>
            </w:pPr>
            <w:r w:rsidRPr="006B7608">
              <w:rPr>
                <w:sz w:val="22"/>
                <w:highlight w:val="cyan"/>
              </w:rPr>
              <w:t>-18%</w:t>
            </w:r>
          </w:p>
        </w:tc>
        <w:tc>
          <w:tcPr>
            <w:tcW w:w="930" w:type="dxa"/>
            <w:tcBorders>
              <w:right w:val="single" w:sz="4" w:space="0" w:color="BFBFBF" w:themeColor="background1" w:themeShade="BF"/>
            </w:tcBorders>
            <w:vAlign w:val="bottom"/>
          </w:tcPr>
          <w:p w14:paraId="696BF597" w14:textId="77777777" w:rsidR="00C20A08" w:rsidRPr="006B7608" w:rsidRDefault="00C20A08" w:rsidP="00E96B7F">
            <w:pPr>
              <w:jc w:val="center"/>
              <w:rPr>
                <w:sz w:val="22"/>
                <w:highlight w:val="cyan"/>
              </w:rPr>
            </w:pPr>
            <w:r w:rsidRPr="006B7608">
              <w:rPr>
                <w:sz w:val="22"/>
                <w:highlight w:val="cyan"/>
              </w:rPr>
              <w:t>-14%</w:t>
            </w:r>
          </w:p>
        </w:tc>
        <w:tc>
          <w:tcPr>
            <w:tcW w:w="1166" w:type="dxa"/>
            <w:tcBorders>
              <w:left w:val="single" w:sz="4" w:space="0" w:color="BFBFBF" w:themeColor="background1" w:themeShade="BF"/>
              <w:right w:val="single" w:sz="4" w:space="0" w:color="BFBFBF" w:themeColor="background1" w:themeShade="BF"/>
            </w:tcBorders>
            <w:vAlign w:val="bottom"/>
          </w:tcPr>
          <w:p w14:paraId="6DB9A042" w14:textId="77777777" w:rsidR="00C20A08" w:rsidRPr="006B7608" w:rsidRDefault="00C20A08" w:rsidP="00E96B7F">
            <w:pPr>
              <w:jc w:val="center"/>
              <w:rPr>
                <w:sz w:val="22"/>
                <w:highlight w:val="cyan"/>
              </w:rPr>
            </w:pPr>
            <w:r w:rsidRPr="006B7608">
              <w:rPr>
                <w:sz w:val="22"/>
                <w:highlight w:val="cyan"/>
              </w:rPr>
              <w:t>-15%</w:t>
            </w:r>
          </w:p>
        </w:tc>
        <w:tc>
          <w:tcPr>
            <w:tcW w:w="797" w:type="dxa"/>
            <w:tcBorders>
              <w:left w:val="single" w:sz="4" w:space="0" w:color="BFBFBF" w:themeColor="background1" w:themeShade="BF"/>
              <w:right w:val="single" w:sz="4" w:space="0" w:color="BFBFBF" w:themeColor="background1" w:themeShade="BF"/>
            </w:tcBorders>
            <w:vAlign w:val="bottom"/>
          </w:tcPr>
          <w:p w14:paraId="0545EE3B" w14:textId="77777777" w:rsidR="00C20A08" w:rsidRPr="006B7608" w:rsidRDefault="00C20A08" w:rsidP="00E96B7F">
            <w:pPr>
              <w:jc w:val="center"/>
              <w:rPr>
                <w:sz w:val="22"/>
                <w:highlight w:val="cyan"/>
              </w:rPr>
            </w:pPr>
            <w:r w:rsidRPr="006B7608">
              <w:rPr>
                <w:sz w:val="22"/>
                <w:highlight w:val="cyan"/>
              </w:rPr>
              <w:t>-15%</w:t>
            </w:r>
          </w:p>
        </w:tc>
      </w:tr>
    </w:tbl>
    <w:p w14:paraId="78A458C4" w14:textId="77777777" w:rsidR="00C20A08" w:rsidRPr="00303D6C" w:rsidRDefault="00C20A08" w:rsidP="00C20A08">
      <w:pPr>
        <w:pStyle w:val="Sectionpagebreak"/>
        <w:sectPr w:rsidR="00C20A08" w:rsidRPr="00303D6C" w:rsidSect="00E86B6F">
          <w:footerReference w:type="default" r:id="rId34"/>
          <w:pgSz w:w="15840" w:h="12240" w:orient="landscape" w:code="1"/>
          <w:pgMar w:top="1440" w:right="1080" w:bottom="1440" w:left="1080" w:header="576" w:footer="576" w:gutter="0"/>
          <w:lnNumType w:countBy="1"/>
          <w:cols w:space="720"/>
          <w:docGrid w:linePitch="360"/>
        </w:sectPr>
      </w:pPr>
    </w:p>
    <w:p w14:paraId="53EE48DE" w14:textId="77777777" w:rsidR="00C20A08" w:rsidRDefault="00C20A08" w:rsidP="00C20A08"/>
    <w:p w14:paraId="70E71AB3" w14:textId="66E61910" w:rsidR="00C33877" w:rsidRDefault="00C33877" w:rsidP="00D1703B"/>
    <w:p w14:paraId="245C58B3" w14:textId="3E39C97F" w:rsidR="00C33877" w:rsidRDefault="00C33877" w:rsidP="007C589D">
      <w:pPr>
        <w:pStyle w:val="Heading3"/>
      </w:pPr>
      <w:r>
        <w:t>Greenhouse Gases</w:t>
      </w:r>
    </w:p>
    <w:p w14:paraId="3CDA1EC6" w14:textId="77777777" w:rsidR="00C20A08" w:rsidRPr="006B7608" w:rsidRDefault="00C20A08" w:rsidP="00C20A08">
      <w:r w:rsidRPr="006B7608">
        <w:t xml:space="preserve">The GHG analysis was conducted for existing conditions, the </w:t>
      </w:r>
      <w:r w:rsidRPr="006B7608">
        <w:rPr>
          <w:highlight w:val="cyan"/>
        </w:rPr>
        <w:t>2040</w:t>
      </w:r>
      <w:r w:rsidRPr="006B7608">
        <w:t xml:space="preserve"> no build alternative and the </w:t>
      </w:r>
      <w:r w:rsidRPr="006B7608">
        <w:rPr>
          <w:highlight w:val="cyan"/>
        </w:rPr>
        <w:t>2040</w:t>
      </w:r>
      <w:r w:rsidRPr="006B7608">
        <w:t xml:space="preserve"> build alternative. Results are shown in Exhibit 20. </w:t>
      </w:r>
    </w:p>
    <w:p w14:paraId="16DB72E4" w14:textId="77777777" w:rsidR="00C20A08" w:rsidRDefault="00C20A08" w:rsidP="00C20A08">
      <w:pPr>
        <w:rPr>
          <w:highlight w:val="cyan"/>
        </w:rPr>
      </w:pPr>
    </w:p>
    <w:p w14:paraId="7BD349F3" w14:textId="77777777" w:rsidR="00C20A08" w:rsidRPr="00EF1F04" w:rsidRDefault="00C20A08" w:rsidP="00C20A08">
      <w:pPr>
        <w:rPr>
          <w:b/>
          <w:i/>
          <w:color w:val="FF0000"/>
          <w:highlight w:val="yellow"/>
        </w:rPr>
      </w:pPr>
      <w:r w:rsidRPr="00EF1F04">
        <w:rPr>
          <w:b/>
          <w:i/>
          <w:color w:val="FF0000"/>
          <w:highlight w:val="yellow"/>
        </w:rPr>
        <w:t>Describe changes in MSAT emissions between alternatives for years analyzed.</w:t>
      </w:r>
    </w:p>
    <w:p w14:paraId="73C8E729" w14:textId="77777777" w:rsidR="00C20A08" w:rsidRPr="00B9650A" w:rsidRDefault="00C20A08" w:rsidP="00C20A08">
      <w:pPr>
        <w:rPr>
          <w:highlight w:val="cyan"/>
        </w:rPr>
      </w:pPr>
    </w:p>
    <w:p w14:paraId="7D5901B5" w14:textId="77777777" w:rsidR="00C20A08" w:rsidRPr="006B7608" w:rsidRDefault="00C20A08" w:rsidP="00C20A08">
      <w:r w:rsidRPr="006B7608">
        <w:rPr>
          <w:highlight w:val="cyan"/>
        </w:rPr>
        <w:t>Estimated No Build (20XX) greenhouse gas emissions are predicted to be less than Existing Conditions (20XX), despite an increase in regional vehicle miles traveled (</w:t>
      </w:r>
      <w:r w:rsidRPr="006B7608">
        <w:rPr>
          <w:highlight w:val="cyan"/>
        </w:rPr>
        <w:fldChar w:fldCharType="begin"/>
      </w:r>
      <w:r w:rsidRPr="006B7608">
        <w:rPr>
          <w:highlight w:val="cyan"/>
        </w:rPr>
        <w:instrText xml:space="preserve"> REF _Ref438462543 \h  \* MERGEFORMAT </w:instrText>
      </w:r>
      <w:r w:rsidRPr="006B7608">
        <w:rPr>
          <w:highlight w:val="cyan"/>
        </w:rPr>
      </w:r>
      <w:r w:rsidRPr="006B7608">
        <w:rPr>
          <w:highlight w:val="cyan"/>
        </w:rPr>
        <w:fldChar w:fldCharType="separate"/>
      </w:r>
      <w:r w:rsidRPr="006B7608">
        <w:rPr>
          <w:highlight w:val="cyan"/>
        </w:rPr>
        <w:t>Ta</w:t>
      </w:r>
      <w:r w:rsidRPr="006B7608">
        <w:rPr>
          <w:highlight w:val="cyan"/>
        </w:rPr>
        <w:fldChar w:fldCharType="end"/>
      </w:r>
      <w:r w:rsidRPr="006B7608">
        <w:rPr>
          <w:highlight w:val="cyan"/>
        </w:rPr>
        <w:t>ble X). This decrease in emissions is expected as a series of Federal fuel economy standards are phased in. Modeled Build (20XX) greenhouse gas emissions are predicted to increase by X percent as compared to a No Build scenario (20XX), which is attributed to the X percent increase in VMT; however, the greenhouse gas emissions are less than Existing Conditions.</w:t>
      </w:r>
      <w:r w:rsidRPr="006B7608">
        <w:rPr>
          <w:bCs/>
          <w:iCs/>
          <w:highlight w:val="cyan"/>
        </w:rPr>
        <w:t xml:space="preserve"> </w:t>
      </w:r>
      <w:r w:rsidRPr="0010278D">
        <w:t xml:space="preserve">The Build Alternative </w:t>
      </w:r>
      <w:r w:rsidRPr="0010278D">
        <w:rPr>
          <w:highlight w:val="cyan"/>
        </w:rPr>
        <w:t>would not</w:t>
      </w:r>
      <w:r w:rsidRPr="0010278D">
        <w:t xml:space="preserve"> result in </w:t>
      </w:r>
      <w:r w:rsidRPr="0010278D">
        <w:rPr>
          <w:bCs/>
          <w:iCs/>
        </w:rPr>
        <w:t>a significant environmental impact regarding greenhouse gas emissions.</w:t>
      </w:r>
      <w:r w:rsidRPr="00303D6C">
        <w:t xml:space="preserve"> </w:t>
      </w:r>
    </w:p>
    <w:p w14:paraId="49F3E819" w14:textId="1DEAC187" w:rsidR="00C33877" w:rsidRDefault="00C33877" w:rsidP="00D1703B"/>
    <w:p w14:paraId="520F1555" w14:textId="5CE5DC92" w:rsidR="00C33877" w:rsidRDefault="00C33877" w:rsidP="007C589D">
      <w:pPr>
        <w:pStyle w:val="Heading3"/>
      </w:pPr>
      <w:r>
        <w:t>Energy Use</w:t>
      </w:r>
    </w:p>
    <w:p w14:paraId="794BBFAD" w14:textId="0675C238" w:rsidR="00A27A81" w:rsidRPr="00A27A81" w:rsidRDefault="00A27A81" w:rsidP="00A27A81">
      <w:pPr>
        <w:rPr>
          <w:b/>
          <w:i/>
          <w:color w:val="FF0000"/>
          <w:highlight w:val="yellow"/>
        </w:rPr>
      </w:pPr>
      <w:r w:rsidRPr="00A27A81">
        <w:rPr>
          <w:b/>
          <w:i/>
          <w:color w:val="FF0000"/>
          <w:highlight w:val="yellow"/>
        </w:rPr>
        <w:t>Only include energy in analysis for an EIS</w:t>
      </w:r>
    </w:p>
    <w:p w14:paraId="46BF97F1" w14:textId="77777777" w:rsidR="00C20A08" w:rsidRPr="006B7608" w:rsidRDefault="00C20A08" w:rsidP="00C20A08">
      <w:r w:rsidRPr="006B7608">
        <w:t xml:space="preserve">A quantitative energy analysis was conducted for this project. </w:t>
      </w:r>
      <w:r w:rsidRPr="00B9650A">
        <w:rPr>
          <w:highlight w:val="cyan"/>
        </w:rPr>
        <w:t>The results closely follow the GHG emission results (see section above). Energy consumption is similar in the study area under existing conditions and the no build alternative. A 55 percent increase in the 2040 no build alternative VMT as compared to the existing conditions is offset by vehicle efficiency improvements. VMT reductions and smoother driving conditions under the build alternative as compared to the no build alternative lead to about a 14 percent reduction in energy use. See Exhibit 20 for results.</w:t>
      </w:r>
      <w:r>
        <w:t xml:space="preserve"> </w:t>
      </w:r>
      <w:r w:rsidRPr="00303D6C">
        <w:t xml:space="preserve">The proposed Build Alternative </w:t>
      </w:r>
      <w:r w:rsidRPr="0010278D">
        <w:rPr>
          <w:highlight w:val="cyan"/>
        </w:rPr>
        <w:t>would not</w:t>
      </w:r>
      <w:r w:rsidRPr="00303D6C">
        <w:t xml:space="preserve"> result in </w:t>
      </w:r>
      <w:r w:rsidRPr="00303D6C">
        <w:rPr>
          <w:bCs/>
          <w:iCs/>
        </w:rPr>
        <w:t>a significant environmental impact regarding energy consumption.</w:t>
      </w:r>
    </w:p>
    <w:p w14:paraId="32F1D134" w14:textId="57AC2CA7" w:rsidR="00C33877" w:rsidRDefault="00C33877" w:rsidP="00D1703B"/>
    <w:p w14:paraId="0339E1FB" w14:textId="6B697AAA" w:rsidR="00C33877" w:rsidRDefault="00C33877" w:rsidP="00C33877">
      <w:pPr>
        <w:pStyle w:val="Heading2"/>
      </w:pPr>
      <w:bookmarkStart w:id="29" w:name="_Toc37412126"/>
      <w:r>
        <w:t>Construction Effects</w:t>
      </w:r>
      <w:bookmarkEnd w:id="29"/>
    </w:p>
    <w:p w14:paraId="34883565" w14:textId="77777777" w:rsidR="00C20A08" w:rsidRDefault="00C20A08" w:rsidP="00C20A08">
      <w:r w:rsidRPr="00303D6C">
        <w:t>Air quality impacts during construction of the project could occur as a result of energy use and emissions generated from construction equipment, construction activities, and vehicles experiencing congestion because of construction detours or delays.</w:t>
      </w:r>
      <w:r>
        <w:t xml:space="preserve"> </w:t>
      </w:r>
      <w:r w:rsidRPr="00303D6C">
        <w:t>Construction-related effects result primarily from energy use and emissions of heavy-duty construction equipment (e.g., bulldozers, backhoes, and cranes), diesel-fueled mobile sources (e.g., trucks, brooms, and sweepers), diesel- and gasoline-fueled generators, and on</w:t>
      </w:r>
      <w:r w:rsidRPr="00303D6C">
        <w:noBreakHyphen/>
        <w:t xml:space="preserve">site and off-site project-related vehicles (e.g., service trucks and pickups). </w:t>
      </w:r>
    </w:p>
    <w:p w14:paraId="6875215B" w14:textId="77777777" w:rsidR="00C20A08" w:rsidRPr="00303D6C" w:rsidRDefault="00C20A08" w:rsidP="00C20A08"/>
    <w:p w14:paraId="708D8CB4" w14:textId="77777777" w:rsidR="00C20A08" w:rsidRDefault="00C20A08" w:rsidP="00C20A08">
      <w:r w:rsidRPr="00303D6C">
        <w:lastRenderedPageBreak/>
        <w:t>In addition dust, or fugitive PM, is also of concern. PM</w:t>
      </w:r>
      <w:r w:rsidRPr="00303D6C">
        <w:rPr>
          <w:vertAlign w:val="subscript"/>
        </w:rPr>
        <w:t>10</w:t>
      </w:r>
      <w:r w:rsidRPr="00303D6C">
        <w:t xml:space="preserve"> emissions are associated with land clearing, ground excavation, grading, cut-and-fill operations, and structure erection. These emissions would vary from day to day, depending on the level of activity, specific operations, and weather conditions. Fugitive PM</w:t>
      </w:r>
      <w:r w:rsidRPr="00303D6C">
        <w:rPr>
          <w:vertAlign w:val="subscript"/>
        </w:rPr>
        <w:t>10</w:t>
      </w:r>
      <w:r w:rsidRPr="00303D6C">
        <w:t xml:space="preserve"> emissions from construction activities could be noticeable if uncontrolled. Mud and particulates from trucks could also be of concern if construction trucks are routed through streets near sensitive land uses (e.g., residences, schools, and parks). </w:t>
      </w:r>
    </w:p>
    <w:p w14:paraId="015BBDC5" w14:textId="77777777" w:rsidR="00C20A08" w:rsidRPr="00303D6C" w:rsidRDefault="00C20A08" w:rsidP="00C20A08"/>
    <w:p w14:paraId="378BE318" w14:textId="77777777" w:rsidR="00C20A08" w:rsidRDefault="00C20A08" w:rsidP="00C20A08">
      <w:r w:rsidRPr="00303D6C">
        <w:t xml:space="preserve">Construction traffic and lane closures increase congestion and reduce the speed of other vehicles, which could temporarily increase emissions burdens and energy use. These effects would be temporary, and generally limited to the immediate area in which the congestion occurs. </w:t>
      </w:r>
    </w:p>
    <w:p w14:paraId="0C93CFDD" w14:textId="77777777" w:rsidR="00C20A08" w:rsidRPr="00303D6C" w:rsidRDefault="00C20A08" w:rsidP="00C20A08"/>
    <w:p w14:paraId="1D99FC72" w14:textId="77777777" w:rsidR="00C20A08" w:rsidRDefault="00C20A08" w:rsidP="00C20A08">
      <w:r w:rsidRPr="00303D6C">
        <w:t>In addition to potential air quality impacts, some construction work activities (particularly those involving paving operations using asphalt) could result in short-term odors, which could be detectable to some people near the site and would be diluted as distance from the site increases.</w:t>
      </w:r>
    </w:p>
    <w:p w14:paraId="4EB6C73D" w14:textId="0B3E0826" w:rsidR="00C33877" w:rsidRDefault="00C33877" w:rsidP="00D1703B"/>
    <w:p w14:paraId="65CB51ED" w14:textId="5707C220" w:rsidR="00C33877" w:rsidRDefault="00C33877" w:rsidP="007C589D">
      <w:pPr>
        <w:pStyle w:val="Heading3"/>
      </w:pPr>
      <w:r>
        <w:t>Greenhouse Gases and Energy Use</w:t>
      </w:r>
    </w:p>
    <w:p w14:paraId="66F118E9" w14:textId="77777777" w:rsidR="00C20A08" w:rsidRDefault="00C20A08" w:rsidP="00C20A08">
      <w:r w:rsidRPr="00283502">
        <w:t xml:space="preserve">Project construction and production of materials used in the project will use energy and release </w:t>
      </w:r>
      <w:r>
        <w:t>GHGs</w:t>
      </w:r>
      <w:r w:rsidRPr="00283502">
        <w:t xml:space="preserve">. Likewise, maintenance activities and materials over the life of the project will produce GHG emissions. </w:t>
      </w:r>
      <w:r>
        <w:t xml:space="preserve">Estimated </w:t>
      </w:r>
      <w:r w:rsidRPr="00283502">
        <w:t>emissions</w:t>
      </w:r>
      <w:r>
        <w:t xml:space="preserve"> and energy use are shown in </w:t>
      </w:r>
      <w:r w:rsidRPr="00A671A8">
        <w:t xml:space="preserve">Exhibit </w:t>
      </w:r>
      <w:r>
        <w:t>21</w:t>
      </w:r>
      <w:r w:rsidRPr="00A671A8">
        <w:t>.</w:t>
      </w:r>
      <w:r>
        <w:t xml:space="preserve"> </w:t>
      </w:r>
    </w:p>
    <w:p w14:paraId="4A55A22C" w14:textId="77777777" w:rsidR="00C20A08" w:rsidRDefault="00C20A08" w:rsidP="00C20A08"/>
    <w:p w14:paraId="523B5D22" w14:textId="77777777" w:rsidR="00C20A08" w:rsidRDefault="00C20A08" w:rsidP="00C20A08">
      <w:pPr>
        <w:pStyle w:val="ExhibitTitle"/>
      </w:pPr>
      <w:r w:rsidRPr="00A671A8">
        <w:t xml:space="preserve">Exhibit </w:t>
      </w:r>
      <w:r>
        <w:t>21 – Project Construction and Maintenance Energy and GHG Emissions</w:t>
      </w:r>
    </w:p>
    <w:tbl>
      <w:tblPr>
        <w:tblStyle w:val="TableGrid"/>
        <w:tblW w:w="8005" w:type="dxa"/>
        <w:tblBorders>
          <w:top w:val="single" w:sz="12" w:space="0" w:color="auto"/>
          <w:left w:val="none" w:sz="0" w:space="0" w:color="auto"/>
          <w:bottom w:val="single" w:sz="12"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2695"/>
        <w:gridCol w:w="2610"/>
        <w:gridCol w:w="2700"/>
      </w:tblGrid>
      <w:tr w:rsidR="00C20A08" w:rsidRPr="0048164B" w14:paraId="45417133" w14:textId="77777777" w:rsidTr="00E96B7F">
        <w:trPr>
          <w:trHeight w:val="600"/>
        </w:trPr>
        <w:tc>
          <w:tcPr>
            <w:tcW w:w="2695" w:type="dxa"/>
            <w:tcBorders>
              <w:top w:val="single" w:sz="12" w:space="0" w:color="auto"/>
              <w:left w:val="nil"/>
              <w:bottom w:val="single" w:sz="12" w:space="0" w:color="auto"/>
              <w:right w:val="nil"/>
            </w:tcBorders>
            <w:vAlign w:val="center"/>
          </w:tcPr>
          <w:p w14:paraId="4A70B173" w14:textId="77777777" w:rsidR="00C20A08" w:rsidRPr="00ED4E71" w:rsidRDefault="00C20A08" w:rsidP="00E96B7F">
            <w:pPr>
              <w:spacing w:before="120" w:after="120"/>
              <w:rPr>
                <w:b/>
                <w:szCs w:val="24"/>
              </w:rPr>
            </w:pPr>
            <w:r w:rsidRPr="00ED4E71">
              <w:rPr>
                <w:b/>
                <w:szCs w:val="24"/>
              </w:rPr>
              <w:t>Alternative</w:t>
            </w:r>
          </w:p>
        </w:tc>
        <w:tc>
          <w:tcPr>
            <w:tcW w:w="2610" w:type="dxa"/>
            <w:tcBorders>
              <w:top w:val="single" w:sz="12" w:space="0" w:color="auto"/>
              <w:left w:val="nil"/>
              <w:bottom w:val="single" w:sz="12" w:space="0" w:color="auto"/>
              <w:right w:val="nil"/>
            </w:tcBorders>
            <w:vAlign w:val="center"/>
          </w:tcPr>
          <w:p w14:paraId="60546949" w14:textId="77777777" w:rsidR="00C20A08" w:rsidRPr="00ED4E71" w:rsidRDefault="00C20A08" w:rsidP="00E96B7F">
            <w:pPr>
              <w:pStyle w:val="NormalWeb"/>
              <w:spacing w:before="120" w:after="120"/>
              <w:jc w:val="center"/>
              <w:rPr>
                <w:rFonts w:asciiTheme="majorHAnsi" w:eastAsiaTheme="minorHAnsi" w:hAnsiTheme="majorHAnsi"/>
                <w:b/>
              </w:rPr>
            </w:pPr>
            <w:r w:rsidRPr="00F375F9">
              <w:rPr>
                <w:rFonts w:asciiTheme="majorHAnsi" w:eastAsiaTheme="minorHAnsi" w:hAnsiTheme="majorHAnsi"/>
                <w:b/>
                <w:highlight w:val="cyan"/>
              </w:rPr>
              <w:t>Energy Use (MMBTU</w:t>
            </w:r>
            <w:r w:rsidRPr="00ED4E71">
              <w:rPr>
                <w:rFonts w:asciiTheme="majorHAnsi" w:eastAsiaTheme="minorHAnsi" w:hAnsiTheme="majorHAnsi"/>
                <w:b/>
              </w:rPr>
              <w:t>)</w:t>
            </w:r>
          </w:p>
        </w:tc>
        <w:tc>
          <w:tcPr>
            <w:tcW w:w="2700" w:type="dxa"/>
            <w:tcBorders>
              <w:top w:val="single" w:sz="12" w:space="0" w:color="auto"/>
              <w:left w:val="nil"/>
              <w:bottom w:val="single" w:sz="12" w:space="0" w:color="auto"/>
              <w:right w:val="nil"/>
            </w:tcBorders>
            <w:vAlign w:val="center"/>
          </w:tcPr>
          <w:p w14:paraId="2157ED90" w14:textId="77777777" w:rsidR="00C20A08" w:rsidRPr="00ED4E71" w:rsidRDefault="00C20A08" w:rsidP="00E96B7F">
            <w:pPr>
              <w:pStyle w:val="NormalWeb"/>
              <w:spacing w:before="120" w:after="120"/>
              <w:jc w:val="center"/>
              <w:rPr>
                <w:rFonts w:asciiTheme="majorHAnsi" w:eastAsiaTheme="minorHAnsi" w:hAnsiTheme="majorHAnsi"/>
                <w:b/>
              </w:rPr>
            </w:pPr>
            <w:r w:rsidRPr="00ED4E71">
              <w:rPr>
                <w:rFonts w:asciiTheme="majorHAnsi" w:eastAsiaTheme="minorHAnsi" w:hAnsiTheme="majorHAnsi"/>
                <w:b/>
              </w:rPr>
              <w:t>GHGs (MT)</w:t>
            </w:r>
          </w:p>
        </w:tc>
      </w:tr>
      <w:tr w:rsidR="00C20A08" w:rsidRPr="001E6C3F" w14:paraId="127DD780" w14:textId="77777777" w:rsidTr="00E96B7F">
        <w:tc>
          <w:tcPr>
            <w:tcW w:w="2695" w:type="dxa"/>
            <w:tcBorders>
              <w:top w:val="single" w:sz="4" w:space="0" w:color="auto"/>
              <w:left w:val="nil"/>
              <w:right w:val="nil"/>
            </w:tcBorders>
            <w:vAlign w:val="center"/>
          </w:tcPr>
          <w:p w14:paraId="7AA07ABB" w14:textId="77777777" w:rsidR="00C20A08" w:rsidRPr="00F375F9" w:rsidRDefault="00C20A08" w:rsidP="00E96B7F">
            <w:pPr>
              <w:spacing w:before="120" w:after="120"/>
              <w:rPr>
                <w:szCs w:val="24"/>
                <w:highlight w:val="cyan"/>
              </w:rPr>
            </w:pPr>
            <w:r w:rsidRPr="00F375F9">
              <w:rPr>
                <w:szCs w:val="24"/>
                <w:highlight w:val="cyan"/>
              </w:rPr>
              <w:t>Bridges and Overpasses</w:t>
            </w:r>
          </w:p>
        </w:tc>
        <w:tc>
          <w:tcPr>
            <w:tcW w:w="2610" w:type="dxa"/>
            <w:tcBorders>
              <w:top w:val="single" w:sz="4" w:space="0" w:color="auto"/>
              <w:left w:val="nil"/>
              <w:right w:val="nil"/>
            </w:tcBorders>
            <w:vAlign w:val="center"/>
          </w:tcPr>
          <w:p w14:paraId="79914387" w14:textId="77777777" w:rsidR="00C20A08" w:rsidRPr="00F375F9" w:rsidRDefault="00C20A08" w:rsidP="00E96B7F">
            <w:pPr>
              <w:spacing w:before="120" w:after="120"/>
              <w:jc w:val="center"/>
              <w:rPr>
                <w:szCs w:val="24"/>
                <w:highlight w:val="cyan"/>
              </w:rPr>
            </w:pPr>
            <w:r w:rsidRPr="00F375F9">
              <w:rPr>
                <w:szCs w:val="24"/>
                <w:highlight w:val="cyan"/>
              </w:rPr>
              <w:t xml:space="preserve"> 105,756 </w:t>
            </w:r>
          </w:p>
        </w:tc>
        <w:tc>
          <w:tcPr>
            <w:tcW w:w="2700" w:type="dxa"/>
            <w:tcBorders>
              <w:top w:val="single" w:sz="4" w:space="0" w:color="auto"/>
              <w:left w:val="nil"/>
              <w:right w:val="nil"/>
            </w:tcBorders>
            <w:vAlign w:val="center"/>
          </w:tcPr>
          <w:p w14:paraId="54D88BF3" w14:textId="77777777" w:rsidR="00C20A08" w:rsidRPr="00F375F9" w:rsidRDefault="00C20A08" w:rsidP="00E96B7F">
            <w:pPr>
              <w:spacing w:before="120" w:after="120"/>
              <w:jc w:val="center"/>
              <w:rPr>
                <w:szCs w:val="24"/>
                <w:highlight w:val="cyan"/>
              </w:rPr>
            </w:pPr>
            <w:r w:rsidRPr="00F375F9">
              <w:rPr>
                <w:szCs w:val="24"/>
                <w:highlight w:val="cyan"/>
              </w:rPr>
              <w:t xml:space="preserve"> 12,818 </w:t>
            </w:r>
          </w:p>
        </w:tc>
      </w:tr>
      <w:tr w:rsidR="00C20A08" w:rsidRPr="001E6C3F" w14:paraId="20268C10" w14:textId="77777777" w:rsidTr="00E96B7F">
        <w:tc>
          <w:tcPr>
            <w:tcW w:w="2695" w:type="dxa"/>
            <w:tcBorders>
              <w:left w:val="nil"/>
              <w:right w:val="nil"/>
            </w:tcBorders>
            <w:vAlign w:val="center"/>
          </w:tcPr>
          <w:p w14:paraId="00C10466" w14:textId="77777777" w:rsidR="00C20A08" w:rsidRPr="00F375F9" w:rsidRDefault="00C20A08" w:rsidP="00E96B7F">
            <w:pPr>
              <w:spacing w:before="120" w:after="120"/>
              <w:rPr>
                <w:szCs w:val="24"/>
                <w:highlight w:val="cyan"/>
              </w:rPr>
            </w:pPr>
            <w:r w:rsidRPr="00F375F9">
              <w:rPr>
                <w:szCs w:val="24"/>
                <w:highlight w:val="cyan"/>
              </w:rPr>
              <w:t>Lighting</w:t>
            </w:r>
          </w:p>
        </w:tc>
        <w:tc>
          <w:tcPr>
            <w:tcW w:w="2610" w:type="dxa"/>
            <w:tcBorders>
              <w:left w:val="nil"/>
              <w:right w:val="nil"/>
            </w:tcBorders>
            <w:vAlign w:val="center"/>
          </w:tcPr>
          <w:p w14:paraId="07D267B1" w14:textId="77777777" w:rsidR="00C20A08" w:rsidRPr="00F375F9" w:rsidRDefault="00C20A08" w:rsidP="00E96B7F">
            <w:pPr>
              <w:spacing w:before="120" w:after="120"/>
              <w:jc w:val="center"/>
              <w:rPr>
                <w:szCs w:val="24"/>
                <w:highlight w:val="cyan"/>
              </w:rPr>
            </w:pPr>
            <w:r w:rsidRPr="00F375F9">
              <w:rPr>
                <w:szCs w:val="24"/>
                <w:highlight w:val="cyan"/>
              </w:rPr>
              <w:t xml:space="preserve"> 4,808 </w:t>
            </w:r>
          </w:p>
        </w:tc>
        <w:tc>
          <w:tcPr>
            <w:tcW w:w="2700" w:type="dxa"/>
            <w:tcBorders>
              <w:left w:val="nil"/>
              <w:right w:val="nil"/>
            </w:tcBorders>
            <w:vAlign w:val="center"/>
          </w:tcPr>
          <w:p w14:paraId="2DE0B257" w14:textId="77777777" w:rsidR="00C20A08" w:rsidRPr="00F375F9" w:rsidRDefault="00C20A08" w:rsidP="00E96B7F">
            <w:pPr>
              <w:spacing w:before="120" w:after="120"/>
              <w:jc w:val="center"/>
              <w:rPr>
                <w:szCs w:val="24"/>
                <w:highlight w:val="cyan"/>
              </w:rPr>
            </w:pPr>
            <w:r w:rsidRPr="00F375F9">
              <w:rPr>
                <w:szCs w:val="24"/>
                <w:highlight w:val="cyan"/>
              </w:rPr>
              <w:t xml:space="preserve"> 158 </w:t>
            </w:r>
          </w:p>
        </w:tc>
      </w:tr>
      <w:tr w:rsidR="00C20A08" w:rsidRPr="001E6C3F" w14:paraId="7F572D67" w14:textId="77777777" w:rsidTr="00E96B7F">
        <w:tc>
          <w:tcPr>
            <w:tcW w:w="2695" w:type="dxa"/>
            <w:tcBorders>
              <w:left w:val="nil"/>
              <w:right w:val="nil"/>
            </w:tcBorders>
            <w:vAlign w:val="center"/>
          </w:tcPr>
          <w:p w14:paraId="01D7F27C" w14:textId="77777777" w:rsidR="00C20A08" w:rsidRPr="00F375F9" w:rsidRDefault="00C20A08" w:rsidP="00E96B7F">
            <w:pPr>
              <w:spacing w:before="120" w:after="120"/>
              <w:rPr>
                <w:szCs w:val="24"/>
                <w:highlight w:val="cyan"/>
              </w:rPr>
            </w:pPr>
            <w:r w:rsidRPr="00F375F9">
              <w:rPr>
                <w:szCs w:val="24"/>
                <w:highlight w:val="cyan"/>
              </w:rPr>
              <w:t>Pathways</w:t>
            </w:r>
          </w:p>
        </w:tc>
        <w:tc>
          <w:tcPr>
            <w:tcW w:w="2610" w:type="dxa"/>
            <w:tcBorders>
              <w:left w:val="nil"/>
              <w:right w:val="nil"/>
            </w:tcBorders>
            <w:vAlign w:val="center"/>
          </w:tcPr>
          <w:p w14:paraId="547E1E67" w14:textId="77777777" w:rsidR="00C20A08" w:rsidRPr="00F375F9" w:rsidRDefault="00C20A08" w:rsidP="00E96B7F">
            <w:pPr>
              <w:spacing w:before="120" w:after="120"/>
              <w:jc w:val="center"/>
              <w:rPr>
                <w:szCs w:val="24"/>
                <w:highlight w:val="cyan"/>
              </w:rPr>
            </w:pPr>
            <w:r w:rsidRPr="00F375F9">
              <w:rPr>
                <w:szCs w:val="24"/>
                <w:highlight w:val="cyan"/>
              </w:rPr>
              <w:t xml:space="preserve"> 2,519 </w:t>
            </w:r>
          </w:p>
        </w:tc>
        <w:tc>
          <w:tcPr>
            <w:tcW w:w="2700" w:type="dxa"/>
            <w:tcBorders>
              <w:left w:val="nil"/>
              <w:right w:val="nil"/>
            </w:tcBorders>
            <w:vAlign w:val="center"/>
          </w:tcPr>
          <w:p w14:paraId="05614315" w14:textId="77777777" w:rsidR="00C20A08" w:rsidRPr="00F375F9" w:rsidRDefault="00C20A08" w:rsidP="00E96B7F">
            <w:pPr>
              <w:spacing w:before="120" w:after="120"/>
              <w:jc w:val="center"/>
              <w:rPr>
                <w:szCs w:val="24"/>
                <w:highlight w:val="cyan"/>
              </w:rPr>
            </w:pPr>
            <w:r w:rsidRPr="00F375F9">
              <w:rPr>
                <w:szCs w:val="24"/>
                <w:highlight w:val="cyan"/>
              </w:rPr>
              <w:t xml:space="preserve"> 215 </w:t>
            </w:r>
          </w:p>
        </w:tc>
      </w:tr>
      <w:tr w:rsidR="00C20A08" w:rsidRPr="001E6C3F" w14:paraId="31ABFC3D" w14:textId="77777777" w:rsidTr="00E96B7F">
        <w:tc>
          <w:tcPr>
            <w:tcW w:w="2695" w:type="dxa"/>
            <w:tcBorders>
              <w:left w:val="nil"/>
              <w:bottom w:val="single" w:sz="4" w:space="0" w:color="auto"/>
              <w:right w:val="nil"/>
            </w:tcBorders>
            <w:vAlign w:val="center"/>
          </w:tcPr>
          <w:p w14:paraId="4E75D223" w14:textId="77777777" w:rsidR="00C20A08" w:rsidRPr="00F375F9" w:rsidRDefault="00C20A08" w:rsidP="00E96B7F">
            <w:pPr>
              <w:spacing w:before="120" w:after="120"/>
              <w:rPr>
                <w:szCs w:val="24"/>
                <w:highlight w:val="cyan"/>
              </w:rPr>
            </w:pPr>
            <w:r w:rsidRPr="00F375F9">
              <w:rPr>
                <w:szCs w:val="24"/>
                <w:highlight w:val="cyan"/>
              </w:rPr>
              <w:t>Roadways</w:t>
            </w:r>
          </w:p>
        </w:tc>
        <w:tc>
          <w:tcPr>
            <w:tcW w:w="2610" w:type="dxa"/>
            <w:tcBorders>
              <w:left w:val="nil"/>
              <w:bottom w:val="single" w:sz="4" w:space="0" w:color="auto"/>
              <w:right w:val="nil"/>
            </w:tcBorders>
            <w:vAlign w:val="center"/>
          </w:tcPr>
          <w:p w14:paraId="190B5D29" w14:textId="77777777" w:rsidR="00C20A08" w:rsidRPr="00F375F9" w:rsidRDefault="00C20A08" w:rsidP="00E96B7F">
            <w:pPr>
              <w:spacing w:before="120" w:after="120"/>
              <w:jc w:val="center"/>
              <w:rPr>
                <w:szCs w:val="24"/>
                <w:highlight w:val="cyan"/>
              </w:rPr>
            </w:pPr>
            <w:r w:rsidRPr="00F375F9">
              <w:rPr>
                <w:szCs w:val="24"/>
                <w:highlight w:val="cyan"/>
              </w:rPr>
              <w:t xml:space="preserve"> 49,205 </w:t>
            </w:r>
          </w:p>
        </w:tc>
        <w:tc>
          <w:tcPr>
            <w:tcW w:w="2700" w:type="dxa"/>
            <w:tcBorders>
              <w:left w:val="nil"/>
              <w:bottom w:val="single" w:sz="4" w:space="0" w:color="auto"/>
              <w:right w:val="nil"/>
            </w:tcBorders>
            <w:vAlign w:val="center"/>
          </w:tcPr>
          <w:p w14:paraId="6401BC91" w14:textId="77777777" w:rsidR="00C20A08" w:rsidRPr="00F375F9" w:rsidRDefault="00C20A08" w:rsidP="00E96B7F">
            <w:pPr>
              <w:spacing w:before="120" w:after="120"/>
              <w:jc w:val="center"/>
              <w:rPr>
                <w:szCs w:val="24"/>
                <w:highlight w:val="cyan"/>
              </w:rPr>
            </w:pPr>
            <w:r w:rsidRPr="00F375F9">
              <w:rPr>
                <w:szCs w:val="24"/>
                <w:highlight w:val="cyan"/>
              </w:rPr>
              <w:t xml:space="preserve"> 4,836 </w:t>
            </w:r>
          </w:p>
        </w:tc>
      </w:tr>
      <w:tr w:rsidR="00C20A08" w:rsidRPr="001E6C3F" w14:paraId="1BF2FCFF" w14:textId="77777777" w:rsidTr="00E96B7F">
        <w:trPr>
          <w:trHeight w:val="296"/>
        </w:trPr>
        <w:tc>
          <w:tcPr>
            <w:tcW w:w="2695" w:type="dxa"/>
            <w:tcBorders>
              <w:top w:val="single" w:sz="4" w:space="0" w:color="auto"/>
              <w:left w:val="nil"/>
              <w:bottom w:val="single" w:sz="12" w:space="0" w:color="auto"/>
              <w:right w:val="nil"/>
            </w:tcBorders>
            <w:vAlign w:val="center"/>
          </w:tcPr>
          <w:p w14:paraId="2DF889C7" w14:textId="77777777" w:rsidR="00C20A08" w:rsidRPr="00ED4E71" w:rsidRDefault="00C20A08" w:rsidP="00E96B7F">
            <w:pPr>
              <w:spacing w:before="120" w:after="120"/>
              <w:rPr>
                <w:szCs w:val="24"/>
              </w:rPr>
            </w:pPr>
            <w:r w:rsidRPr="00326D97">
              <w:rPr>
                <w:szCs w:val="24"/>
              </w:rPr>
              <w:t>Total</w:t>
            </w:r>
          </w:p>
        </w:tc>
        <w:tc>
          <w:tcPr>
            <w:tcW w:w="2610" w:type="dxa"/>
            <w:tcBorders>
              <w:top w:val="single" w:sz="4" w:space="0" w:color="auto"/>
              <w:left w:val="nil"/>
              <w:bottom w:val="single" w:sz="12" w:space="0" w:color="auto"/>
              <w:right w:val="nil"/>
            </w:tcBorders>
            <w:vAlign w:val="bottom"/>
          </w:tcPr>
          <w:p w14:paraId="32CA5410" w14:textId="77777777" w:rsidR="00C20A08" w:rsidRPr="00ED4E71" w:rsidRDefault="00C20A08" w:rsidP="00E96B7F">
            <w:pPr>
              <w:spacing w:before="120" w:after="120"/>
              <w:jc w:val="center"/>
              <w:rPr>
                <w:szCs w:val="24"/>
              </w:rPr>
            </w:pPr>
            <w:r w:rsidRPr="00326D97">
              <w:rPr>
                <w:szCs w:val="24"/>
              </w:rPr>
              <w:t xml:space="preserve"> 162,287 </w:t>
            </w:r>
          </w:p>
        </w:tc>
        <w:tc>
          <w:tcPr>
            <w:tcW w:w="2700" w:type="dxa"/>
            <w:tcBorders>
              <w:top w:val="single" w:sz="4" w:space="0" w:color="auto"/>
              <w:left w:val="nil"/>
              <w:bottom w:val="single" w:sz="12" w:space="0" w:color="auto"/>
              <w:right w:val="nil"/>
            </w:tcBorders>
            <w:vAlign w:val="bottom"/>
          </w:tcPr>
          <w:p w14:paraId="1707A934" w14:textId="77777777" w:rsidR="00C20A08" w:rsidRPr="00ED4E71" w:rsidRDefault="00C20A08" w:rsidP="00E96B7F">
            <w:pPr>
              <w:spacing w:before="120" w:after="120"/>
              <w:jc w:val="center"/>
              <w:rPr>
                <w:szCs w:val="24"/>
              </w:rPr>
            </w:pPr>
            <w:r w:rsidRPr="00326D97">
              <w:rPr>
                <w:szCs w:val="24"/>
              </w:rPr>
              <w:t xml:space="preserve"> 18,027 </w:t>
            </w:r>
          </w:p>
        </w:tc>
      </w:tr>
    </w:tbl>
    <w:p w14:paraId="53E07297" w14:textId="77777777" w:rsidR="00C20A08" w:rsidRPr="00283502" w:rsidRDefault="00C20A08" w:rsidP="00C20A08"/>
    <w:p w14:paraId="6498EE49" w14:textId="77777777" w:rsidR="00C20A08" w:rsidRPr="00303D6C" w:rsidRDefault="00C20A08" w:rsidP="00C20A08"/>
    <w:p w14:paraId="5FAF1F2A" w14:textId="4A8E113C" w:rsidR="00C33877" w:rsidRDefault="00C33877" w:rsidP="00D1703B"/>
    <w:p w14:paraId="4738192B" w14:textId="228C530F" w:rsidR="00C33877" w:rsidRDefault="00C33877" w:rsidP="00C33877">
      <w:pPr>
        <w:pStyle w:val="Heading2"/>
      </w:pPr>
      <w:bookmarkStart w:id="30" w:name="_Toc37412127"/>
      <w:r>
        <w:lastRenderedPageBreak/>
        <w:t>Indirect Effects</w:t>
      </w:r>
      <w:bookmarkEnd w:id="30"/>
    </w:p>
    <w:p w14:paraId="6937AB6D" w14:textId="77777777" w:rsidR="00C20A08" w:rsidRDefault="00C20A08" w:rsidP="00C20A08">
      <w:r w:rsidRPr="00EA192B">
        <w:t>The air quality</w:t>
      </w:r>
      <w:r>
        <w:t>, energy and greenhouse gas</w:t>
      </w:r>
      <w:r w:rsidRPr="00EA192B">
        <w:t xml:space="preserve"> analysis for the </w:t>
      </w:r>
      <w:r w:rsidRPr="00F375F9">
        <w:rPr>
          <w:highlight w:val="cyan"/>
        </w:rPr>
        <w:t>project</w:t>
      </w:r>
      <w:r w:rsidRPr="00EA192B">
        <w:t xml:space="preserve"> is based on forecasted traffic volumes, which includes future population and employment growth. Therefore, the analysis of long-term impacts generally includes the cumulative impacts of air pollutant emissions from all traffic forecasted to operate within the project area and other traffic growth that is expected to occur regionally and locally, with or without the project.</w:t>
      </w:r>
    </w:p>
    <w:p w14:paraId="17B8631F" w14:textId="77777777" w:rsidR="00C20A08" w:rsidRPr="00EA192B" w:rsidRDefault="00C20A08" w:rsidP="00C20A08"/>
    <w:p w14:paraId="17BF4CAB" w14:textId="77777777" w:rsidR="00C20A08" w:rsidRPr="00EA192B" w:rsidRDefault="00C20A08" w:rsidP="00C20A08">
      <w:r w:rsidRPr="00F375F9">
        <w:rPr>
          <w:highlight w:val="cyan"/>
        </w:rPr>
        <w:t>The indirect air quality benefits of the project are that it is expected to help reduce future traffic volumes and levels of congestion within the project area compared to the No Build Alternative, as well as reduce traffic-related energy consumption, air pollutant and greenhouse gas emissions.</w:t>
      </w:r>
      <w:r w:rsidRPr="00EA192B">
        <w:t xml:space="preserve"> Adverse indirect air quality</w:t>
      </w:r>
      <w:r>
        <w:t>, energy and greenhouse gas</w:t>
      </w:r>
      <w:r w:rsidRPr="00EA192B">
        <w:t xml:space="preserve"> impacts from the project are unlikely. </w:t>
      </w:r>
    </w:p>
    <w:p w14:paraId="7C5B2C5B" w14:textId="15E1F71D" w:rsidR="00C33877" w:rsidRDefault="00C33877" w:rsidP="00D1703B"/>
    <w:p w14:paraId="18D1C8F6" w14:textId="25353DF8" w:rsidR="00C33877" w:rsidRDefault="00C33877" w:rsidP="00C33877">
      <w:pPr>
        <w:pStyle w:val="Heading1"/>
      </w:pPr>
      <w:bookmarkStart w:id="31" w:name="_Toc37412128"/>
      <w:r>
        <w:t>Measures to Avoid or Minimize Effects</w:t>
      </w:r>
      <w:bookmarkEnd w:id="31"/>
    </w:p>
    <w:p w14:paraId="1506CEB3" w14:textId="423A3EA5" w:rsidR="00C33877" w:rsidRDefault="00C33877" w:rsidP="00C33877">
      <w:pPr>
        <w:pStyle w:val="Heading2"/>
      </w:pPr>
      <w:bookmarkStart w:id="32" w:name="_Toc37412129"/>
      <w:r>
        <w:t>Operational Mitigation</w:t>
      </w:r>
      <w:bookmarkEnd w:id="32"/>
    </w:p>
    <w:p w14:paraId="0A68E979" w14:textId="77777777" w:rsidR="00C20A08" w:rsidRDefault="00C20A08" w:rsidP="00C20A08">
      <w:r w:rsidRPr="00303D6C">
        <w:t>The project would not require mitigation measures during operation.</w:t>
      </w:r>
      <w:bookmarkStart w:id="33" w:name="_Toc441209137"/>
    </w:p>
    <w:p w14:paraId="75D18B70" w14:textId="77777777" w:rsidR="00C20A08" w:rsidRPr="00303D6C" w:rsidRDefault="00C20A08" w:rsidP="00C20A08"/>
    <w:p w14:paraId="02DF48A5" w14:textId="77777777" w:rsidR="00C20A08" w:rsidRPr="00303D6C" w:rsidRDefault="00C20A08" w:rsidP="00C20A08">
      <w:r w:rsidRPr="00303D6C">
        <w:t xml:space="preserve">As detailed above, no meaningful impacts on energy use and criteria pollutant, MSAT and greenhouse gas emissions are predicted, therefore no mitigation measures are proposed for operational conditions. </w:t>
      </w:r>
    </w:p>
    <w:bookmarkEnd w:id="33"/>
    <w:p w14:paraId="4F821DFA" w14:textId="45D12FC5" w:rsidR="00C33877" w:rsidRDefault="00C33877" w:rsidP="00D1703B"/>
    <w:p w14:paraId="05226D3D" w14:textId="69D67131" w:rsidR="00C33877" w:rsidRDefault="00C33877" w:rsidP="00C33877">
      <w:pPr>
        <w:pStyle w:val="Heading2"/>
      </w:pPr>
      <w:bookmarkStart w:id="34" w:name="_Toc37412130"/>
      <w:r>
        <w:t>Construction Mitigation</w:t>
      </w:r>
      <w:bookmarkEnd w:id="34"/>
    </w:p>
    <w:p w14:paraId="08BA4192" w14:textId="77777777" w:rsidR="00C20A08" w:rsidRDefault="00C20A08" w:rsidP="00C20A08">
      <w:r w:rsidRPr="00303D6C">
        <w:t>The project traffic control plan will include detours and strategic construction timing (such as night work) to continue moving traffic through the area and reduce backups and delays to the traveling public to the extent possible. It is standard practice for WSDOT to set up active construction areas, staging areas, and material transfer sites in a way that reduces standing wait times for equipment during construction. WSDOT will also work with its partners to promote ridesharing and other commute trip reduction efforts for employees working on the project.</w:t>
      </w:r>
      <w:r>
        <w:t xml:space="preserve"> </w:t>
      </w:r>
    </w:p>
    <w:p w14:paraId="6C7225E6" w14:textId="77777777" w:rsidR="00C20A08" w:rsidRDefault="00C20A08" w:rsidP="00C20A08"/>
    <w:p w14:paraId="7224DAAB" w14:textId="77777777" w:rsidR="00C20A08" w:rsidRDefault="00C20A08" w:rsidP="00C20A08">
      <w:r>
        <w:t xml:space="preserve">Particulate emissions (in the form of fugitive dust during construction activities) are regulated by Ecology and </w:t>
      </w:r>
      <w:r w:rsidRPr="00F375F9">
        <w:rPr>
          <w:highlight w:val="cyan"/>
        </w:rPr>
        <w:t>PSCAA</w:t>
      </w:r>
      <w:r>
        <w:t xml:space="preserve">. The operator of a source of fugitive dust is required to take reasonable precautions to prevent fugitive dust from becoming airborne and must maintain and operate the source to minimize </w:t>
      </w:r>
      <w:r w:rsidRPr="000E5FEB">
        <w:t>emissions (AGCW 1997).</w:t>
      </w:r>
      <w:r>
        <w:t xml:space="preserve"> Construction impacts from the Project’s improvements will be minimized by incorporating mitigation measures per the WSDOT standard specifications into the construction specifications for the project. Specific mitigation measures will include the following, as applicable:</w:t>
      </w:r>
    </w:p>
    <w:p w14:paraId="0AE5C48A" w14:textId="77777777" w:rsidR="00C20A08" w:rsidRPr="00513B8B" w:rsidRDefault="00C20A08" w:rsidP="00C20A08">
      <w:pPr>
        <w:pStyle w:val="ListBullet"/>
      </w:pPr>
      <w:r>
        <w:lastRenderedPageBreak/>
        <w:t xml:space="preserve">Spraying exposed </w:t>
      </w:r>
      <w:r w:rsidRPr="00513B8B">
        <w:t>soil with water or other dust palliatives</w:t>
      </w:r>
    </w:p>
    <w:p w14:paraId="2BB1A3B2" w14:textId="77777777" w:rsidR="00C20A08" w:rsidRPr="00513B8B" w:rsidRDefault="00C20A08" w:rsidP="00C20A08">
      <w:pPr>
        <w:pStyle w:val="ListBullet"/>
      </w:pPr>
      <w:r w:rsidRPr="00513B8B">
        <w:t>Covering all trucks transporting materials, wetting materials in trucks, or providing adequate freeboard (space from the top of the material to the top of the truck)</w:t>
      </w:r>
    </w:p>
    <w:p w14:paraId="58E1BB07" w14:textId="77777777" w:rsidR="00C20A08" w:rsidRPr="00513B8B" w:rsidRDefault="00C20A08" w:rsidP="00C20A08">
      <w:pPr>
        <w:pStyle w:val="ListBullet"/>
      </w:pPr>
      <w:r w:rsidRPr="00513B8B">
        <w:t>Removing particulate matter deposited on paved, public roads</w:t>
      </w:r>
    </w:p>
    <w:p w14:paraId="66D0F3CD" w14:textId="77777777" w:rsidR="00C20A08" w:rsidRPr="00513B8B" w:rsidRDefault="00C20A08" w:rsidP="00C20A08">
      <w:pPr>
        <w:pStyle w:val="ListBullet"/>
      </w:pPr>
      <w:r w:rsidRPr="00513B8B">
        <w:t>Minimizing delays to traffic during peak travel times</w:t>
      </w:r>
    </w:p>
    <w:p w14:paraId="7925EDC4" w14:textId="77777777" w:rsidR="00C20A08" w:rsidRPr="00513B8B" w:rsidRDefault="00C20A08" w:rsidP="00C20A08">
      <w:pPr>
        <w:pStyle w:val="ListBullet"/>
      </w:pPr>
      <w:r w:rsidRPr="00513B8B">
        <w:t>Placing quarry spall aprons where trucks enter public roads</w:t>
      </w:r>
    </w:p>
    <w:p w14:paraId="3F1F606E" w14:textId="77777777" w:rsidR="00C20A08" w:rsidRPr="00513B8B" w:rsidRDefault="00C20A08" w:rsidP="00C20A08">
      <w:pPr>
        <w:pStyle w:val="ListBullet"/>
      </w:pPr>
      <w:r w:rsidRPr="00513B8B">
        <w:t>Graveling or paving haul roads</w:t>
      </w:r>
    </w:p>
    <w:p w14:paraId="31C328EA" w14:textId="77777777" w:rsidR="00C20A08" w:rsidRPr="00513B8B" w:rsidRDefault="00C20A08" w:rsidP="00C20A08">
      <w:pPr>
        <w:pStyle w:val="ListBullet"/>
      </w:pPr>
      <w:r w:rsidRPr="00513B8B">
        <w:t>Planting vegetative cover as soon as possible after grading</w:t>
      </w:r>
    </w:p>
    <w:p w14:paraId="27056164" w14:textId="77777777" w:rsidR="00C20A08" w:rsidRPr="00513B8B" w:rsidRDefault="00C20A08" w:rsidP="00C20A08">
      <w:pPr>
        <w:pStyle w:val="ListBullet"/>
      </w:pPr>
      <w:r w:rsidRPr="00513B8B">
        <w:t>Minimizing unnecessary idling of on-site diesel construction equipment</w:t>
      </w:r>
    </w:p>
    <w:p w14:paraId="1475FEA4" w14:textId="77777777" w:rsidR="00C20A08" w:rsidRPr="00513B8B" w:rsidRDefault="00C20A08" w:rsidP="00C20A08">
      <w:pPr>
        <w:pStyle w:val="ListBullet"/>
      </w:pPr>
      <w:r w:rsidRPr="00513B8B">
        <w:t>Locating diesel engines, motors, or equipment as far away as possible from existing residential areas</w:t>
      </w:r>
      <w:r>
        <w:t xml:space="preserve"> and other sensitive areas</w:t>
      </w:r>
    </w:p>
    <w:p w14:paraId="0DB68DBB" w14:textId="77777777" w:rsidR="00C20A08" w:rsidRPr="00513B8B" w:rsidRDefault="00C20A08" w:rsidP="00C20A08">
      <w:pPr>
        <w:pStyle w:val="ListBullet"/>
      </w:pPr>
      <w:r w:rsidRPr="00513B8B">
        <w:t>Minimizing hours of operation near sensitive receptor areas and rerouting the diesel truck traffic away from sensitive receptor areas</w:t>
      </w:r>
    </w:p>
    <w:p w14:paraId="2F680298" w14:textId="77777777" w:rsidR="00C20A08" w:rsidRPr="00513B8B" w:rsidRDefault="00C20A08" w:rsidP="00C20A08">
      <w:pPr>
        <w:pStyle w:val="ListBullet"/>
      </w:pPr>
      <w:r w:rsidRPr="00513B8B">
        <w:t>Educating vehicle operators to shut off equipment when not in active use to reduce idling</w:t>
      </w:r>
    </w:p>
    <w:p w14:paraId="44385BE2" w14:textId="77777777" w:rsidR="00C20A08" w:rsidRPr="00513B8B" w:rsidRDefault="00C20A08" w:rsidP="00C20A08">
      <w:pPr>
        <w:pStyle w:val="ListBullet"/>
      </w:pPr>
      <w:r w:rsidRPr="00513B8B">
        <w:t>Using cleaner fuels as appropriate</w:t>
      </w:r>
    </w:p>
    <w:p w14:paraId="4129BEB3" w14:textId="77777777" w:rsidR="00C20A08" w:rsidRPr="00513B8B" w:rsidRDefault="00C20A08" w:rsidP="00C20A08">
      <w:pPr>
        <w:pStyle w:val="ListBullet"/>
      </w:pPr>
      <w:r w:rsidRPr="00513B8B">
        <w:t xml:space="preserve">The project traffic control plan will include detours and strategic construction timing (such as night work) to continue moving traffic through the area and reduce backups and delays to the traveling public to the extent possible. </w:t>
      </w:r>
    </w:p>
    <w:p w14:paraId="7985AB72" w14:textId="77777777" w:rsidR="00C20A08" w:rsidRPr="00513B8B" w:rsidRDefault="00C20A08" w:rsidP="00C20A08">
      <w:pPr>
        <w:pStyle w:val="ListBullet"/>
      </w:pPr>
      <w:r w:rsidRPr="00513B8B">
        <w:t xml:space="preserve">WSDOT will also work with its partners to promote ridesharing and other commute trip reduction efforts for employees working on the project. </w:t>
      </w:r>
    </w:p>
    <w:p w14:paraId="62C165FA" w14:textId="25F74931" w:rsidR="00C33877" w:rsidRDefault="00C33877" w:rsidP="00D1703B"/>
    <w:p w14:paraId="1ABFAAF4" w14:textId="11589EE8" w:rsidR="00C33877" w:rsidRDefault="00C33877" w:rsidP="00C33877">
      <w:pPr>
        <w:pStyle w:val="Heading1"/>
      </w:pPr>
      <w:bookmarkStart w:id="35" w:name="_Toc37412131"/>
      <w:r>
        <w:t>References</w:t>
      </w:r>
      <w:bookmarkEnd w:id="35"/>
    </w:p>
    <w:p w14:paraId="48E0381B" w14:textId="054B466A" w:rsidR="00A27A81" w:rsidRPr="00A27A81" w:rsidRDefault="00A27A81" w:rsidP="00A27A81">
      <w:pPr>
        <w:rPr>
          <w:b/>
          <w:i/>
          <w:color w:val="FF0000"/>
          <w:highlight w:val="yellow"/>
        </w:rPr>
      </w:pPr>
      <w:r w:rsidRPr="00A27A81">
        <w:rPr>
          <w:b/>
          <w:i/>
          <w:color w:val="FF0000"/>
          <w:highlight w:val="yellow"/>
        </w:rPr>
        <w:t xml:space="preserve">Include additional references as needed. </w:t>
      </w:r>
    </w:p>
    <w:p w14:paraId="2C1C4CBB" w14:textId="77777777" w:rsidR="00A27A81" w:rsidRDefault="00A27A81" w:rsidP="00C20A08">
      <w:pPr>
        <w:pStyle w:val="References-405PROJECT"/>
      </w:pPr>
    </w:p>
    <w:p w14:paraId="742491AD" w14:textId="1FE84142" w:rsidR="00C20A08" w:rsidRDefault="00C20A08" w:rsidP="00C20A08">
      <w:pPr>
        <w:pStyle w:val="References-405PROJECT"/>
      </w:pPr>
      <w:r>
        <w:t xml:space="preserve">Federal Highway Administration (FHWA). 2016a. </w:t>
      </w:r>
      <w:r w:rsidRPr="00A53D59">
        <w:rPr>
          <w:i/>
        </w:rPr>
        <w:t>Updated Interim Guidance on Mobile Source Air Toxic Analysis in NEPA Documents</w:t>
      </w:r>
      <w:r>
        <w:t xml:space="preserve">. Retrieved on </w:t>
      </w:r>
      <w:r w:rsidRPr="00F375F9">
        <w:rPr>
          <w:highlight w:val="cyan"/>
        </w:rPr>
        <w:t>Date,</w:t>
      </w:r>
      <w:r>
        <w:t xml:space="preserve"> from </w:t>
      </w:r>
      <w:hyperlink r:id="rId35" w:history="1">
        <w:r w:rsidRPr="00B212A1">
          <w:rPr>
            <w:rStyle w:val="Hyperlink"/>
          </w:rPr>
          <w:t>https://www.fhwa.dot.gov/environment/air_quality/air_toxics/policy_and_guidance/msat/</w:t>
        </w:r>
      </w:hyperlink>
      <w:r>
        <w:t xml:space="preserve"> </w:t>
      </w:r>
    </w:p>
    <w:p w14:paraId="39F5928F" w14:textId="77777777" w:rsidR="00C20A08" w:rsidRDefault="0064571D" w:rsidP="00C20A08">
      <w:pPr>
        <w:pStyle w:val="References-405PROJECT"/>
      </w:pPr>
      <w:hyperlink r:id="rId36" w:anchor="aq" w:history="1">
        <w:r w:rsidR="00C20A08" w:rsidRPr="00B212A1">
          <w:rPr>
            <w:rStyle w:val="Hyperlink"/>
          </w:rPr>
          <w:t>https://www.environment.fhwa.dot.gov/legislation/nepa/guidance_preparing_env_documents.aspx#aq</w:t>
        </w:r>
      </w:hyperlink>
      <w:r w:rsidR="00C20A08">
        <w:t xml:space="preserve"> </w:t>
      </w:r>
    </w:p>
    <w:p w14:paraId="1D044368" w14:textId="77777777" w:rsidR="00C20A08" w:rsidRDefault="00C20A08" w:rsidP="00C20A08">
      <w:pPr>
        <w:pStyle w:val="References-405PROJECT"/>
      </w:pPr>
      <w:r>
        <w:lastRenderedPageBreak/>
        <w:t xml:space="preserve">FHWA. 2016b. Infrastructure Carbon Estimator Tool. Retrieved on </w:t>
      </w:r>
      <w:r w:rsidRPr="00F375F9">
        <w:rPr>
          <w:highlight w:val="cyan"/>
        </w:rPr>
        <w:t>date</w:t>
      </w:r>
      <w:r>
        <w:t>, from https://www.fhwa.dot.gov/environment/sustainability/energy/tools/carbon_estimator/index.cfm.</w:t>
      </w:r>
    </w:p>
    <w:p w14:paraId="479A9CE3" w14:textId="77777777" w:rsidR="00C20A08" w:rsidRDefault="00C20A08" w:rsidP="00C20A08">
      <w:pPr>
        <w:pStyle w:val="References-405PROJECT"/>
      </w:pPr>
      <w:r>
        <w:t xml:space="preserve">U.S. Environmental Protection Agency. 1992. </w:t>
      </w:r>
      <w:r w:rsidRPr="00A53D59">
        <w:rPr>
          <w:i/>
        </w:rPr>
        <w:t>Guideline for Modeling Carbon Monoxide from Roadway Intersections</w:t>
      </w:r>
      <w:r>
        <w:t>.</w:t>
      </w:r>
      <w:r w:rsidRPr="00A53D59">
        <w:rPr>
          <w:i/>
        </w:rPr>
        <w:t xml:space="preserve"> Report Number EPA-454/R-92-005</w:t>
      </w:r>
      <w:r>
        <w:t xml:space="preserve">. Retrieved on </w:t>
      </w:r>
      <w:r w:rsidRPr="00F375F9">
        <w:rPr>
          <w:highlight w:val="cyan"/>
        </w:rPr>
        <w:t>date</w:t>
      </w:r>
      <w:r>
        <w:t xml:space="preserve">, from </w:t>
      </w:r>
      <w:hyperlink r:id="rId37" w:history="1">
        <w:r w:rsidRPr="00B212A1">
          <w:rPr>
            <w:rStyle w:val="Hyperlink"/>
          </w:rPr>
          <w:t>https://www3.epa.gov/ttn/scram/guidance/guide/coguide.pdf</w:t>
        </w:r>
      </w:hyperlink>
      <w:r>
        <w:t xml:space="preserve">, November. </w:t>
      </w:r>
    </w:p>
    <w:p w14:paraId="11817B79" w14:textId="77777777" w:rsidR="00C20A08" w:rsidRDefault="00C20A08" w:rsidP="00C20A08">
      <w:pPr>
        <w:pStyle w:val="References-405PROJECT"/>
      </w:pPr>
      <w:r>
        <w:t xml:space="preserve">EPA. 2004. </w:t>
      </w:r>
      <w:r w:rsidRPr="00A53D59">
        <w:rPr>
          <w:i/>
        </w:rPr>
        <w:t>Puget Sound Area CO 2nd 10-Year Maintenance Plan Summary</w:t>
      </w:r>
      <w:r>
        <w:t xml:space="preserve">. Retrieved on </w:t>
      </w:r>
      <w:r w:rsidRPr="00F375F9">
        <w:rPr>
          <w:highlight w:val="cyan"/>
        </w:rPr>
        <w:t>date,</w:t>
      </w:r>
      <w:r>
        <w:t xml:space="preserve"> from </w:t>
      </w:r>
      <w:hyperlink r:id="rId38" w:history="1">
        <w:r w:rsidRPr="00B212A1">
          <w:rPr>
            <w:rStyle w:val="Hyperlink"/>
          </w:rPr>
          <w:t>http://www.federalregister.com/Browse/Document/usa/na/fr/2004/8/5/04-17782</w:t>
        </w:r>
      </w:hyperlink>
      <w:r>
        <w:t xml:space="preserve">. </w:t>
      </w:r>
    </w:p>
    <w:p w14:paraId="2F6A7D9E" w14:textId="77777777" w:rsidR="00C20A08" w:rsidRDefault="00C20A08" w:rsidP="00C20A08">
      <w:pPr>
        <w:pStyle w:val="References-405PROJECT"/>
      </w:pPr>
      <w:r>
        <w:t xml:space="preserve">EPA. 2015a. National Ambient Air Quality Standards (NAAQS) Table. Retrieved on </w:t>
      </w:r>
      <w:r w:rsidRPr="00F375F9">
        <w:rPr>
          <w:highlight w:val="cyan"/>
        </w:rPr>
        <w:t>date</w:t>
      </w:r>
      <w:r>
        <w:t xml:space="preserve"> from https://www.epa.gov/criteria-air-pollutants/naaqs-table. </w:t>
      </w:r>
    </w:p>
    <w:p w14:paraId="2361D3C4" w14:textId="77777777" w:rsidR="00C20A08" w:rsidRDefault="00C20A08" w:rsidP="00C20A08">
      <w:pPr>
        <w:pStyle w:val="References-405PROJECT"/>
      </w:pPr>
      <w:r>
        <w:t xml:space="preserve">EPA. 2015b. 2015 National Ambient Air Quality Standards for Ozone. Retrieved on </w:t>
      </w:r>
      <w:r w:rsidRPr="00F375F9">
        <w:rPr>
          <w:highlight w:val="cyan"/>
        </w:rPr>
        <w:t>date,</w:t>
      </w:r>
      <w:r>
        <w:t xml:space="preserve"> from https://www.epa.gov/ozone-pollution/2015-national-ambient-air-quality-standards-naaqs-ozone. </w:t>
      </w:r>
    </w:p>
    <w:p w14:paraId="7B05D6F9" w14:textId="77777777" w:rsidR="00C20A08" w:rsidRDefault="00C20A08" w:rsidP="00C20A08">
      <w:pPr>
        <w:pStyle w:val="References-405PROJECT"/>
      </w:pPr>
      <w:r>
        <w:t xml:space="preserve">EPA. 2018. Washington State Air Quality Monitoring Station Reporting-Outdoor Air Quality Data. </w:t>
      </w:r>
      <w:bookmarkStart w:id="36" w:name="_Hlk12358770"/>
      <w:r>
        <w:t xml:space="preserve">Retrieved on </w:t>
      </w:r>
      <w:r w:rsidRPr="00F375F9">
        <w:rPr>
          <w:highlight w:val="cyan"/>
        </w:rPr>
        <w:t>date</w:t>
      </w:r>
      <w:r>
        <w:t xml:space="preserve">, from </w:t>
      </w:r>
      <w:r w:rsidRPr="008F5F52">
        <w:t>https://www.epa.gov/outdoor-air-quality-data/monitor-values-report</w:t>
      </w:r>
      <w:bookmarkEnd w:id="36"/>
      <w:r>
        <w:t>.</w:t>
      </w:r>
    </w:p>
    <w:p w14:paraId="2A150751" w14:textId="77777777" w:rsidR="00C20A08" w:rsidRDefault="00C20A08" w:rsidP="00C20A08">
      <w:pPr>
        <w:pStyle w:val="References-405PROJECT"/>
      </w:pPr>
      <w:r>
        <w:t xml:space="preserve">Puget Sound Clean Air Agency (PSCAA). 2018. </w:t>
      </w:r>
      <w:r w:rsidRPr="00B615C3">
        <w:rPr>
          <w:kern w:val="20"/>
        </w:rPr>
        <w:t>Regulation 1</w:t>
      </w:r>
      <w:r>
        <w:rPr>
          <w:kern w:val="20"/>
        </w:rPr>
        <w:t xml:space="preserve">. Retrieved on </w:t>
      </w:r>
      <w:r w:rsidRPr="00F375F9">
        <w:rPr>
          <w:highlight w:val="cyan"/>
        </w:rPr>
        <w:t>date</w:t>
      </w:r>
      <w:r>
        <w:rPr>
          <w:kern w:val="20"/>
        </w:rPr>
        <w:t xml:space="preserve">, from </w:t>
      </w:r>
      <w:hyperlink r:id="rId39" w:history="1">
        <w:r>
          <w:rPr>
            <w:rStyle w:val="Hyperlink"/>
          </w:rPr>
          <w:t>https://www.pscleanair.org/DocumentCenter/View/354/Regulation-I?bidId=</w:t>
        </w:r>
      </w:hyperlink>
      <w:r>
        <w:t>.</w:t>
      </w:r>
    </w:p>
    <w:p w14:paraId="03C687D2" w14:textId="77777777" w:rsidR="00C20A08" w:rsidRDefault="00C20A08" w:rsidP="00C20A08">
      <w:pPr>
        <w:pStyle w:val="References-405PROJECT"/>
      </w:pPr>
      <w:r>
        <w:rPr>
          <w:color w:val="000000"/>
          <w:kern w:val="20"/>
        </w:rPr>
        <w:t>State of Washington. 2016.</w:t>
      </w:r>
      <w:r w:rsidRPr="00B615C3">
        <w:rPr>
          <w:color w:val="000000"/>
          <w:kern w:val="20"/>
        </w:rPr>
        <w:t xml:space="preserve"> W</w:t>
      </w:r>
      <w:r>
        <w:rPr>
          <w:color w:val="000000"/>
          <w:kern w:val="20"/>
        </w:rPr>
        <w:t xml:space="preserve">ashington State Ambient Air Quality Standards. </w:t>
      </w:r>
      <w:r w:rsidRPr="00B615C3">
        <w:rPr>
          <w:kern w:val="20"/>
        </w:rPr>
        <w:t>Washington Administrative Code (</w:t>
      </w:r>
      <w:r w:rsidRPr="00B615C3">
        <w:rPr>
          <w:color w:val="000000"/>
          <w:kern w:val="20"/>
        </w:rPr>
        <w:t>WAC) 173-47</w:t>
      </w:r>
      <w:r>
        <w:rPr>
          <w:color w:val="000000"/>
          <w:kern w:val="20"/>
        </w:rPr>
        <w:t>6</w:t>
      </w:r>
      <w:r w:rsidRPr="00B615C3">
        <w:rPr>
          <w:color w:val="000000"/>
          <w:kern w:val="20"/>
        </w:rPr>
        <w:t>.</w:t>
      </w:r>
      <w:r>
        <w:rPr>
          <w:color w:val="000000"/>
          <w:kern w:val="20"/>
        </w:rPr>
        <w:t xml:space="preserve"> Retrieved on </w:t>
      </w:r>
      <w:r w:rsidRPr="00F375F9">
        <w:rPr>
          <w:highlight w:val="cyan"/>
        </w:rPr>
        <w:t>date</w:t>
      </w:r>
      <w:r>
        <w:rPr>
          <w:color w:val="000000"/>
          <w:kern w:val="20"/>
        </w:rPr>
        <w:t xml:space="preserve"> from </w:t>
      </w:r>
      <w:hyperlink r:id="rId40" w:history="1">
        <w:r w:rsidRPr="00F97952">
          <w:rPr>
            <w:rStyle w:val="Hyperlink"/>
          </w:rPr>
          <w:t>https://apps.leg.wa.gov/wac/default.aspx?cite=173-476-900</w:t>
        </w:r>
      </w:hyperlink>
      <w:r>
        <w:rPr>
          <w:rStyle w:val="Hyperlink"/>
        </w:rPr>
        <w:t>.</w:t>
      </w:r>
    </w:p>
    <w:p w14:paraId="72552B26" w14:textId="77777777" w:rsidR="00C20A08" w:rsidRDefault="00C20A08" w:rsidP="00C20A08">
      <w:pPr>
        <w:pStyle w:val="References-405PROJECT"/>
      </w:pPr>
      <w:r w:rsidRPr="008F5F52">
        <w:t>U</w:t>
      </w:r>
      <w:r>
        <w:t>.</w:t>
      </w:r>
      <w:r w:rsidRPr="008F5F52">
        <w:t>S</w:t>
      </w:r>
      <w:r>
        <w:t>.</w:t>
      </w:r>
      <w:r w:rsidRPr="008F5F52">
        <w:t xml:space="preserve"> Energy Information Administration</w:t>
      </w:r>
      <w:r>
        <w:t>. 2019.</w:t>
      </w:r>
      <w:r w:rsidRPr="008F5F52">
        <w:t xml:space="preserve"> </w:t>
      </w:r>
      <w:r>
        <w:t xml:space="preserve">Energy Consumption Data. Retrieved on </w:t>
      </w:r>
      <w:r w:rsidRPr="00F375F9">
        <w:rPr>
          <w:highlight w:val="cyan"/>
        </w:rPr>
        <w:t>date</w:t>
      </w:r>
      <w:r>
        <w:t xml:space="preserve">, from </w:t>
      </w:r>
      <w:r w:rsidRPr="008F5F52">
        <w:t>https://www.eia.gov</w:t>
      </w:r>
      <w:r>
        <w:t>.</w:t>
      </w:r>
    </w:p>
    <w:p w14:paraId="486542EC" w14:textId="77777777" w:rsidR="00C20A08" w:rsidRDefault="00C20A08" w:rsidP="00C20A08">
      <w:pPr>
        <w:pStyle w:val="References-405PROJECT"/>
      </w:pPr>
      <w:r>
        <w:t xml:space="preserve">Washington State Department of Ecology (Ecology). 2016. </w:t>
      </w:r>
      <w:r w:rsidRPr="001B41B5">
        <w:rPr>
          <w:i/>
        </w:rPr>
        <w:t>Report to the Legislature on Washington Greenhouse Gas Emissions Inventory: 2010-2013</w:t>
      </w:r>
      <w:r>
        <w:t>. Publication No. 16-02-025.</w:t>
      </w:r>
    </w:p>
    <w:p w14:paraId="6FC523C9" w14:textId="77777777" w:rsidR="00C20A08" w:rsidRDefault="00C20A08" w:rsidP="00C20A08">
      <w:pPr>
        <w:pStyle w:val="References-405PROJECT"/>
      </w:pPr>
      <w:r>
        <w:t xml:space="preserve">Washington State Department of Transportation (WSDOT). 1999. </w:t>
      </w:r>
      <w:r w:rsidRPr="001B41B5">
        <w:rPr>
          <w:i/>
        </w:rPr>
        <w:t>Memorandum of Agreement between WSDOT and Puget Sound Clean Air Agency Regarding Control of Fugitive Dust from Construction Projects</w:t>
      </w:r>
      <w:r>
        <w:t>..</w:t>
      </w:r>
    </w:p>
    <w:p w14:paraId="78FABDDE" w14:textId="77777777" w:rsidR="00C20A08" w:rsidRDefault="00C20A08" w:rsidP="00C20A08">
      <w:pPr>
        <w:pStyle w:val="References-405PROJECT"/>
      </w:pPr>
      <w:r>
        <w:t xml:space="preserve">WSDOT. 2018. </w:t>
      </w:r>
      <w:r w:rsidRPr="00460E23">
        <w:rPr>
          <w:i/>
        </w:rPr>
        <w:t>WSDOT Guidance-Project-Level Greenhouse Gas Evaluations under NEPA and SEPA</w:t>
      </w:r>
      <w:r>
        <w:t xml:space="preserve">. Retrieved on </w:t>
      </w:r>
      <w:r w:rsidRPr="00F375F9">
        <w:rPr>
          <w:highlight w:val="cyan"/>
        </w:rPr>
        <w:t>date,</w:t>
      </w:r>
      <w:r>
        <w:t xml:space="preserve"> from </w:t>
      </w:r>
      <w:r w:rsidRPr="00AD03D4">
        <w:t>https://www.wsdot.wa.gov/sites/default/files/2019/02/08/ENV-ANE-GHGGuidance.pdf</w:t>
      </w:r>
      <w:r>
        <w:t>.</w:t>
      </w:r>
    </w:p>
    <w:p w14:paraId="4652E48F" w14:textId="77777777" w:rsidR="00C20A08" w:rsidRDefault="00C20A08" w:rsidP="00C20A08">
      <w:pPr>
        <w:pStyle w:val="References-405PROJECT"/>
      </w:pPr>
      <w:r>
        <w:t xml:space="preserve">WSDOT. 2019. </w:t>
      </w:r>
      <w:r w:rsidRPr="00402C45">
        <w:rPr>
          <w:i/>
        </w:rPr>
        <w:t>Environmental Manual</w:t>
      </w:r>
      <w:r>
        <w:t>. M 31-11.21. Engineering and Regional Operations, Development Division, Environmental Services Office.</w:t>
      </w:r>
    </w:p>
    <w:p w14:paraId="0FD4D272" w14:textId="2EC53B14" w:rsidR="00C33877" w:rsidRDefault="00C33877" w:rsidP="00D1703B"/>
    <w:p w14:paraId="4281C69B" w14:textId="77777777" w:rsidR="00611550" w:rsidRDefault="00611550" w:rsidP="00C33877">
      <w:pPr>
        <w:pStyle w:val="Style1Heading"/>
        <w:sectPr w:rsidR="00611550" w:rsidSect="00D270BF">
          <w:footerReference w:type="default" r:id="rId41"/>
          <w:pgSz w:w="12240" w:h="15840"/>
          <w:pgMar w:top="1440" w:right="1440" w:bottom="1440" w:left="1440" w:header="720" w:footer="720" w:gutter="0"/>
          <w:cols w:space="720"/>
          <w:docGrid w:linePitch="360"/>
        </w:sectPr>
      </w:pPr>
      <w:bookmarkStart w:id="37" w:name="_Toc37412132"/>
    </w:p>
    <w:p w14:paraId="5F7845A1" w14:textId="1D229570" w:rsidR="00C33877" w:rsidRDefault="00C33877" w:rsidP="00C33877">
      <w:pPr>
        <w:pStyle w:val="Style1Heading"/>
      </w:pPr>
      <w:r>
        <w:lastRenderedPageBreak/>
        <w:t>Appendix A</w:t>
      </w:r>
      <w:bookmarkEnd w:id="37"/>
      <w:r w:rsidR="00611550">
        <w:t xml:space="preserve"> – Incomeplete or Unavailable Information</w:t>
      </w:r>
    </w:p>
    <w:p w14:paraId="44CE5574" w14:textId="2B270A16" w:rsidR="00240FBF" w:rsidRPr="00EF1F04" w:rsidRDefault="00240FBF" w:rsidP="00240FBF">
      <w:pPr>
        <w:rPr>
          <w:b/>
          <w:i/>
          <w:color w:val="FF0000"/>
        </w:rPr>
      </w:pPr>
      <w:r w:rsidRPr="00EF1F04">
        <w:rPr>
          <w:b/>
          <w:i/>
          <w:color w:val="FF0000"/>
          <w:highlight w:val="yellow"/>
        </w:rPr>
        <w:t>Make sure current text from FHWA used.</w:t>
      </w:r>
      <w:r w:rsidRPr="00EF1F04">
        <w:rPr>
          <w:b/>
          <w:i/>
          <w:color w:val="FF0000"/>
        </w:rPr>
        <w:t xml:space="preserve"> </w:t>
      </w:r>
    </w:p>
    <w:p w14:paraId="3AB1249F" w14:textId="77777777" w:rsidR="00240FBF" w:rsidRPr="00EC20AC" w:rsidRDefault="00240FBF" w:rsidP="00240FBF">
      <w:pPr>
        <w:pStyle w:val="Style2Heading"/>
        <w:rPr>
          <w:sz w:val="24"/>
          <w:szCs w:val="24"/>
        </w:rPr>
      </w:pPr>
      <w:bookmarkStart w:id="38" w:name="_Toc37317514"/>
      <w:r w:rsidRPr="00EC20AC">
        <w:rPr>
          <w:sz w:val="24"/>
          <w:szCs w:val="24"/>
        </w:rPr>
        <w:t>Council on Environmental Quality (CEQ) Provisions Covering Incomplete or Unavailable Information (40 CFR 1502.22)</w:t>
      </w:r>
      <w:bookmarkEnd w:id="38"/>
    </w:p>
    <w:p w14:paraId="38D6CDAA" w14:textId="77777777" w:rsidR="00240FBF" w:rsidRPr="00EC20AC" w:rsidRDefault="00240FBF" w:rsidP="00240FBF">
      <w:pPr>
        <w:pStyle w:val="Style2Heading"/>
        <w:rPr>
          <w:sz w:val="24"/>
          <w:szCs w:val="24"/>
        </w:rPr>
      </w:pPr>
      <w:bookmarkStart w:id="39" w:name="_Toc37317515"/>
      <w:r w:rsidRPr="00EC20AC">
        <w:rPr>
          <w:sz w:val="24"/>
          <w:szCs w:val="24"/>
        </w:rPr>
        <w:t>Sec. 1502.22 Incomplete or Unavailable Information</w:t>
      </w:r>
      <w:bookmarkEnd w:id="39"/>
    </w:p>
    <w:p w14:paraId="239CCDCC" w14:textId="77777777" w:rsidR="00240FBF" w:rsidRDefault="00240FBF" w:rsidP="00240FBF">
      <w:pPr>
        <w:pStyle w:val="ListBullet"/>
        <w:spacing w:before="0" w:after="0"/>
        <w:contextualSpacing/>
      </w:pPr>
      <w:r>
        <w:t>When an agency is evaluating reasonably foreseeable significant adverse effects on the human environment in an environmental impact statement and there is incomplete or unavailable information, the agency shall always make clear that such information is lacking.</w:t>
      </w:r>
    </w:p>
    <w:p w14:paraId="518FD92F" w14:textId="77777777" w:rsidR="00240FBF" w:rsidRDefault="00240FBF" w:rsidP="00240FBF">
      <w:pPr>
        <w:pStyle w:val="ListBullet"/>
        <w:spacing w:before="0" w:after="0"/>
        <w:contextualSpacing/>
      </w:pPr>
      <w:r>
        <w:t>If the incomplete information relevant to reasonably foreseeable significant adverse impacts is essential to a reasoned choice among alternatives and the overall costs of obtaining it are not exorbitant, the agency shall include the following information in the EIS:</w:t>
      </w:r>
    </w:p>
    <w:p w14:paraId="168BC442" w14:textId="77777777" w:rsidR="00240FBF" w:rsidRDefault="00240FBF" w:rsidP="00240FBF">
      <w:pPr>
        <w:pStyle w:val="ListBullet"/>
        <w:numPr>
          <w:ilvl w:val="1"/>
          <w:numId w:val="2"/>
        </w:numPr>
        <w:spacing w:before="0" w:after="0"/>
        <w:contextualSpacing/>
      </w:pPr>
      <w:r>
        <w:t>a statement that such information is incomplete or unavailable;</w:t>
      </w:r>
    </w:p>
    <w:p w14:paraId="0AF4C5D6" w14:textId="77777777" w:rsidR="00240FBF" w:rsidRDefault="00240FBF" w:rsidP="00240FBF">
      <w:pPr>
        <w:pStyle w:val="ListBullet"/>
        <w:numPr>
          <w:ilvl w:val="1"/>
          <w:numId w:val="2"/>
        </w:numPr>
        <w:spacing w:before="0" w:after="0"/>
        <w:contextualSpacing/>
      </w:pPr>
      <w:r>
        <w:t>a statement of the relevance of the incomplete or unavailable information to evaluating reasonably foreseeable significant adverse impacts on the human environment;</w:t>
      </w:r>
    </w:p>
    <w:p w14:paraId="6B565C82" w14:textId="77777777" w:rsidR="00240FBF" w:rsidRDefault="00240FBF" w:rsidP="00240FBF">
      <w:pPr>
        <w:pStyle w:val="ListBullet"/>
        <w:numPr>
          <w:ilvl w:val="1"/>
          <w:numId w:val="2"/>
        </w:numPr>
        <w:spacing w:before="0" w:after="0"/>
        <w:contextualSpacing/>
      </w:pPr>
      <w:r>
        <w:t>a summary of existing credible scientific evidence which is relevant to evaluating the reasonably foreseeable significant adverse impacts on the human environment; and</w:t>
      </w:r>
    </w:p>
    <w:p w14:paraId="6B27E926" w14:textId="77777777" w:rsidR="00240FBF" w:rsidRDefault="00240FBF" w:rsidP="00240FBF">
      <w:pPr>
        <w:pStyle w:val="ListBullet"/>
        <w:numPr>
          <w:ilvl w:val="1"/>
          <w:numId w:val="2"/>
        </w:numPr>
        <w:spacing w:before="0" w:after="0"/>
        <w:contextualSpacing/>
      </w:pPr>
      <w:r>
        <w:t>the agency's evaluation of such impacts based upon theoretical approaches or research methods generally accepted in the scientific community. For the purposes of this section, "reasonably foreseeable" includes impacts that have catastrophic consequences, even if their probability of occurrence is low, provided that the analysis of the impacts is supported by credible scientific evidence, is not based on pure conjecture, and is within the rule of reason.</w:t>
      </w:r>
    </w:p>
    <w:p w14:paraId="752855CE" w14:textId="77777777" w:rsidR="00240FBF" w:rsidRDefault="00240FBF" w:rsidP="00240FBF">
      <w:pPr>
        <w:pStyle w:val="ListBullet"/>
        <w:spacing w:before="0" w:after="0"/>
        <w:contextualSpacing/>
      </w:pPr>
      <w:r>
        <w:t>The amended regulation will be applicable to all environmental impact statements for which a Notice to Intent (40 CFR 1508.22) is published in the Federal Register on or after May 27, 1986. For environmental impact statements in progress, agencies may choose to comply with the requirements of either the original or amended regulation.</w:t>
      </w:r>
    </w:p>
    <w:p w14:paraId="2770BB8B" w14:textId="77777777" w:rsidR="00240FBF" w:rsidRDefault="00240FBF" w:rsidP="00240FBF">
      <w:pPr>
        <w:pStyle w:val="ListBullet"/>
        <w:numPr>
          <w:ilvl w:val="0"/>
          <w:numId w:val="0"/>
        </w:numPr>
        <w:ind w:left="720"/>
      </w:pPr>
    </w:p>
    <w:p w14:paraId="2AD79924" w14:textId="77777777" w:rsidR="00240FBF" w:rsidRDefault="00240FBF" w:rsidP="007C589D">
      <w:pPr>
        <w:pStyle w:val="Style3Heading"/>
      </w:pPr>
      <w:bookmarkStart w:id="40" w:name="_Toc37317516"/>
      <w:r>
        <w:t xml:space="preserve">Incomplete or Unavailable Information </w:t>
      </w:r>
      <w:r w:rsidRPr="00F375F9">
        <w:t>for</w:t>
      </w:r>
      <w:r>
        <w:t xml:space="preserve"> Project-Specific MSAT Health Impacts Analysis</w:t>
      </w:r>
      <w:bookmarkEnd w:id="40"/>
    </w:p>
    <w:p w14:paraId="2C1AC528" w14:textId="77777777" w:rsidR="00240FBF" w:rsidRDefault="00240FBF" w:rsidP="00240FBF">
      <w:r>
        <w:t xml:space="preserve">In FHWA’s view, information is incomplete or unavailable to credibly predict the project-specific health impacts due to changes in MSAT emissions associated with a proposed set of </w:t>
      </w:r>
      <w:r>
        <w:lastRenderedPageBreak/>
        <w:t>highway alternatives. The outcome of such an assessment, adverse or not, would be influenced more by the uncertainty introduced into the process through assumption and speculation rather than any genuine insight into the actual health impacts directly attributable to MSAT exposure associated with a proposed action.</w:t>
      </w:r>
    </w:p>
    <w:p w14:paraId="1A0A6986" w14:textId="77777777" w:rsidR="00240FBF" w:rsidRDefault="00240FBF" w:rsidP="00240FBF"/>
    <w:p w14:paraId="1C7EF2ED" w14:textId="77777777" w:rsidR="00240FBF" w:rsidRDefault="00240FBF" w:rsidP="00240FBF">
      <w:r>
        <w:t>The EPA is responsible for protecting the public health and welfare from any known or anticipated effect of an air pollutant. They are the lead authority for administering the Clean Air Act and its amendments and have specific statutory obligations with respect to hazardous air pollutants and MSAT. The EPA is in the continual process of assessing human health effects, exposures, and risks posed by air pollutants. They maintain the Integrated Risk Information System (IRIS), which is “a compilation of electronic reports on specific substances found in the environment and their potential to cause human health effects” (EPA, </w:t>
      </w:r>
      <w:hyperlink r:id="rId42" w:history="1">
        <w:r>
          <w:rPr>
            <w:rStyle w:val="Hyperlink"/>
            <w:rFonts w:ascii="Verdana" w:hAnsi="Verdana"/>
            <w:color w:val="3D1761"/>
            <w:sz w:val="22"/>
          </w:rPr>
          <w:t>https://www.epa.gov/iris</w:t>
        </w:r>
      </w:hyperlink>
      <w:r>
        <w:t>). Each report contains assessments of non-cancerous and cancerous effects for individual compounds and quantitative estimates of risk levels from lifetime oral and inhalation exposures with uncertainty spanning perhaps an order of magnitude.</w:t>
      </w:r>
    </w:p>
    <w:p w14:paraId="4D3A3F3F" w14:textId="77777777" w:rsidR="00240FBF" w:rsidRDefault="00240FBF" w:rsidP="00240FBF"/>
    <w:p w14:paraId="4E9922DC" w14:textId="77777777" w:rsidR="00240FBF" w:rsidRDefault="00240FBF" w:rsidP="00240FBF">
      <w:r>
        <w:t>Other organizations are also active in the research and analyses of the human health effects of MSAT, including the Health Effects Institute (HEI). A number of HEI studies are summarized in Appendix D of FHWA’s Updated Interim Guidance on Mobile Source Air Toxic Analysis in NEPA Documents. Among the adverse health effects linked to MSAT compounds at high exposures are: cancer in humans in occupational settings; cancer in animals; and irritation to the respiratory tract, including the exacerbation of asthma. Less obvious is the adverse human health effects of MSAT compounds at current environmental concentrations (HEI Special Report 16, </w:t>
      </w:r>
      <w:hyperlink r:id="rId43" w:history="1">
        <w:r>
          <w:rPr>
            <w:rStyle w:val="Hyperlink"/>
            <w:rFonts w:ascii="Verdana" w:hAnsi="Verdana"/>
            <w:color w:val="3D1761"/>
            <w:sz w:val="22"/>
          </w:rPr>
          <w:t>https://www.healtheffects.org/publication/mobile-source-air-toxics-critical-review-literature-exposure-and-health-effects</w:t>
        </w:r>
      </w:hyperlink>
      <w:r>
        <w:t>) or in the future as vehicle emissions substantially decrease.</w:t>
      </w:r>
    </w:p>
    <w:p w14:paraId="63DB3CFE" w14:textId="77777777" w:rsidR="00240FBF" w:rsidRDefault="00240FBF" w:rsidP="00240FBF"/>
    <w:p w14:paraId="6CBFCBC4" w14:textId="77777777" w:rsidR="00240FBF" w:rsidRDefault="00240FBF" w:rsidP="00240FBF">
      <w:r>
        <w:t>The methodologies for forecasting health impacts include emissions modeling; dispersion modeling; exposure modeling; and then final determination of health impacts – each step in the process building on the model predictions obtained in the previous step. All are encumbered by technical shortcomings or uncertain science that prevents a more complete differentiation of the MSAT health impacts among a set of project alternatives. These difficulties are magnified for lifetime (i.e., 70 year) assessments, particularly because unsupportable assumptions would have to be made regarding changes in travel patterns and vehicle technology (which affects emissions rates) over that time frame, since such information is unavailable.</w:t>
      </w:r>
    </w:p>
    <w:p w14:paraId="14F902D6" w14:textId="77777777" w:rsidR="00240FBF" w:rsidRDefault="00240FBF" w:rsidP="00240FBF"/>
    <w:p w14:paraId="2FEE7D1F" w14:textId="77777777" w:rsidR="00240FBF" w:rsidRDefault="00240FBF" w:rsidP="00240FBF">
      <w:r>
        <w:lastRenderedPageBreak/>
        <w:t>It is particularly difficult to reliably forecast 70-year lifetime MSAT concentrations and exposure near roadways; to determine the portion of time that people are actually exposed at a specific location; and to establish the extent attributable to a proposed action, especially given that some of the information needed is unavailable.</w:t>
      </w:r>
    </w:p>
    <w:p w14:paraId="6B42DCA2" w14:textId="77777777" w:rsidR="00240FBF" w:rsidRDefault="00240FBF" w:rsidP="00240FBF"/>
    <w:p w14:paraId="7F1732E7" w14:textId="77777777" w:rsidR="00240FBF" w:rsidRPr="000619D3" w:rsidRDefault="00240FBF" w:rsidP="00240FBF">
      <w:pPr>
        <w:rPr>
          <w:szCs w:val="24"/>
        </w:rPr>
      </w:pPr>
      <w:r>
        <w:t>There are considerable uncertainties associated with the existing estimates of toxicity of the various MSAT, because of factors such as low-dose extrapolation and translation of occupational exposure data to the general population, a concern expressed by HEI (Special Report 16, </w:t>
      </w:r>
      <w:hyperlink r:id="rId44" w:history="1">
        <w:r>
          <w:rPr>
            <w:rStyle w:val="Hyperlink"/>
            <w:rFonts w:ascii="Verdana" w:hAnsi="Verdana"/>
            <w:color w:val="3D1761"/>
            <w:sz w:val="22"/>
          </w:rPr>
          <w:t>https://www.healtheffects.org/publication/mobile-source-air-toxics-critical-review-literature-exposure-and-health-effects</w:t>
        </w:r>
      </w:hyperlink>
      <w:r>
        <w:t xml:space="preserve">). As a result, there is no national consensus on air dose-response values assumed to protect the public health and welfare for MSAT compounds, and in particular for diesel PM. The EPA states that with respect to diesel engine exhaust, “[t]he absence of adequate data to develop a sufficiently confident dose-response relationship from the epidemiologic studies has prevented the estimation of </w:t>
      </w:r>
      <w:r w:rsidRPr="000619D3">
        <w:rPr>
          <w:szCs w:val="24"/>
        </w:rPr>
        <w:t>inhalation carcinogenic risk (EPA IRIS database, Diesel Engine Exhaust, Section II.C. </w:t>
      </w:r>
      <w:hyperlink r:id="rId45" w:anchor="quainhal)" w:history="1">
        <w:r w:rsidRPr="000619D3">
          <w:rPr>
            <w:rStyle w:val="Hyperlink"/>
            <w:szCs w:val="24"/>
          </w:rPr>
          <w:t>https://cfpub.epa.gov/ncea/iris/iris_documents/documents/subst/0642.htm#quainhal)</w:t>
        </w:r>
      </w:hyperlink>
      <w:r w:rsidRPr="000619D3">
        <w:rPr>
          <w:szCs w:val="24"/>
        </w:rPr>
        <w:t>.”</w:t>
      </w:r>
    </w:p>
    <w:p w14:paraId="3808B218" w14:textId="77777777" w:rsidR="00240FBF" w:rsidRPr="000619D3" w:rsidRDefault="00240FBF" w:rsidP="00240FBF">
      <w:pPr>
        <w:rPr>
          <w:szCs w:val="24"/>
        </w:rPr>
      </w:pPr>
    </w:p>
    <w:p w14:paraId="40A50508" w14:textId="77777777" w:rsidR="00240FBF" w:rsidRPr="000619D3" w:rsidRDefault="00240FBF" w:rsidP="00240FBF">
      <w:pPr>
        <w:rPr>
          <w:szCs w:val="24"/>
        </w:rPr>
      </w:pPr>
      <w:r>
        <w:t xml:space="preserve">There is also the lack of a national consensus on an acceptable level of risk. The current context is the process used by the EPA as provided by the Clean Air Act to determine whether more stringent controls are required in order to provide an ample margin of safety to protect public health or to prevent an adverse environmental effect for industrial sources subject to the maximum achievable control technology standards, such as benzene emissions from refineries. The decision framework is a two-step process. The first step requires EPA to determine an “acceptable” level of risk due to emissions from a source, which is generally no greater than approximately 100 in a million. Additional factors are considered in the second step, the goal of which is to maximize the number of people with risks less than 1 in a million due to emissions from a source. The results of this statutory two-step process do not guarantee that cancer risks from exposure to air toxics are less than 1 in a million; in some cases, the residual risk determination could result in maximum individual cancer risks that are as high as approximately 100 in a million. In a June 2008 decision, the U.S. Court of Appeals for the District of Columbia Circuit upheld EPA’s approach to addressing risk in its two step decision framework. Information is incomplete </w:t>
      </w:r>
      <w:r w:rsidRPr="000619D3">
        <w:t xml:space="preserve">or unavailable to </w:t>
      </w:r>
      <w:r w:rsidRPr="000619D3">
        <w:rPr>
          <w:szCs w:val="24"/>
        </w:rPr>
        <w:t>establish that even the largest of highway projects would result in levels of risk greater than deemed acceptable (</w:t>
      </w:r>
      <w:hyperlink r:id="rId46" w:history="1">
        <w:r w:rsidRPr="000619D3">
          <w:rPr>
            <w:rStyle w:val="Hyperlink"/>
            <w:color w:val="3D1761"/>
            <w:szCs w:val="24"/>
          </w:rPr>
          <w:t>https://www.cadc.uscourts.gov/internet/opinions.nsf/284E23FFE079CD59852578000050C9DA/$file/07-1053-1120274.pdf</w:t>
        </w:r>
      </w:hyperlink>
      <w:r w:rsidRPr="000619D3">
        <w:rPr>
          <w:szCs w:val="24"/>
        </w:rPr>
        <w:t> ).</w:t>
      </w:r>
    </w:p>
    <w:p w14:paraId="15BED43B" w14:textId="77777777" w:rsidR="00240FBF" w:rsidRDefault="00240FBF" w:rsidP="00240FBF"/>
    <w:p w14:paraId="54E0AA7B" w14:textId="77777777" w:rsidR="00240FBF" w:rsidRDefault="00240FBF" w:rsidP="00240FBF">
      <w:r>
        <w:t xml:space="preserve">Because of the limitations in the methodologies for forecasting health impacts described, any predicted difference in health impacts between alternatives is likely to be much </w:t>
      </w:r>
      <w:r>
        <w:lastRenderedPageBreak/>
        <w:t>smaller than the uncertainties associated with predicting the impacts. Consequently, the results of such assessments would not be useful to decision makers, who would need to weigh this information against project benefits, such as reducing traffic congestion, accident rates, and fatalities plus improved access for emergency response, that are better suited for quantitative analysis.</w:t>
      </w:r>
    </w:p>
    <w:p w14:paraId="50F6F0E7" w14:textId="77777777" w:rsidR="00611550" w:rsidRDefault="00611550" w:rsidP="00240FBF">
      <w:pPr>
        <w:pStyle w:val="Style1Heading"/>
        <w:sectPr w:rsidR="00611550" w:rsidSect="00D270BF">
          <w:pgSz w:w="12240" w:h="15840"/>
          <w:pgMar w:top="1440" w:right="1440" w:bottom="1440" w:left="1440" w:header="720" w:footer="720" w:gutter="0"/>
          <w:cols w:space="720"/>
          <w:docGrid w:linePitch="360"/>
        </w:sectPr>
      </w:pPr>
      <w:bookmarkStart w:id="41" w:name="_Toc37412133"/>
    </w:p>
    <w:p w14:paraId="75AE9141" w14:textId="725F66C8" w:rsidR="006A5AB4" w:rsidRDefault="00240FBF" w:rsidP="00240FBF">
      <w:pPr>
        <w:pStyle w:val="Style1Heading"/>
      </w:pPr>
      <w:r>
        <w:lastRenderedPageBreak/>
        <w:t>Appendix B – Operational MSAT, GHG, and Energy MOVES Modeling</w:t>
      </w:r>
      <w:bookmarkEnd w:id="41"/>
    </w:p>
    <w:p w14:paraId="6D022C6D" w14:textId="54AEC9E5" w:rsidR="00240FBF" w:rsidRDefault="00240FBF" w:rsidP="00240FBF">
      <w:r>
        <w:t xml:space="preserve">As required by EPA, the analysis was developed using the EPA MOtor Vehicle Emissions Simulator (MOVES </w:t>
      </w:r>
      <w:r w:rsidRPr="00A037F6">
        <w:rPr>
          <w:highlight w:val="cyan"/>
        </w:rPr>
        <w:t>2014b</w:t>
      </w:r>
      <w:r>
        <w:t xml:space="preserve">) model and </w:t>
      </w:r>
      <w:r w:rsidRPr="00F064B3">
        <w:t>relevant local inputs for this analys</w:t>
      </w:r>
      <w:r>
        <w:t>is to calculate daily emissions</w:t>
      </w:r>
      <w:r w:rsidRPr="00F064B3">
        <w:t>.</w:t>
      </w:r>
      <w:r>
        <w:t xml:space="preserve"> Settings used for the MOVES runs are identified in </w:t>
      </w:r>
      <w:r w:rsidRPr="00A037F6">
        <w:rPr>
          <w:highlight w:val="cyan"/>
        </w:rPr>
        <w:t>Exhibit XX.</w:t>
      </w:r>
    </w:p>
    <w:p w14:paraId="50844695" w14:textId="77777777" w:rsidR="0013484E" w:rsidRDefault="0013484E" w:rsidP="00240FBF"/>
    <w:p w14:paraId="05BD5D15" w14:textId="6A9554A3" w:rsidR="00240FBF" w:rsidRDefault="00240FBF" w:rsidP="0013484E">
      <w:pPr>
        <w:pStyle w:val="Style3Heading"/>
      </w:pPr>
      <w:r>
        <w:t>Study Area</w:t>
      </w:r>
    </w:p>
    <w:p w14:paraId="4663B722" w14:textId="77777777" w:rsidR="00240FBF" w:rsidRDefault="00240FBF" w:rsidP="00240FBF">
      <w:r>
        <w:t xml:space="preserve">Following FHWA guidance, </w:t>
      </w:r>
      <w:r w:rsidRPr="00A037F6">
        <w:rPr>
          <w:highlight w:val="cyan"/>
        </w:rPr>
        <w:t>the study area for the MSAT analysis included roadways with a 10 percent or greater change in travel time between the build and no build in the during the AM and PM peak hours. In addition, all links on the NSC and I-90 were included in the study area.</w:t>
      </w:r>
      <w:r>
        <w:t xml:space="preserve"> The same study area was used for GHG and Energy. </w:t>
      </w:r>
      <w:r w:rsidRPr="00A037F6">
        <w:rPr>
          <w:highlight w:val="cyan"/>
        </w:rPr>
        <w:t>Exhibit XX</w:t>
      </w:r>
      <w:r>
        <w:t xml:space="preserve"> shows the roadways used. </w:t>
      </w:r>
    </w:p>
    <w:p w14:paraId="7DDCE0C8" w14:textId="722CC24A" w:rsidR="00240FBF" w:rsidRDefault="00240FBF" w:rsidP="00D47526"/>
    <w:p w14:paraId="207AC92D" w14:textId="77777777" w:rsidR="00240FBF" w:rsidRDefault="00240FBF" w:rsidP="00240FBF">
      <w:pPr>
        <w:pStyle w:val="ExhibitTitle"/>
        <w:rPr>
          <w:noProof/>
        </w:rPr>
      </w:pPr>
      <w:r w:rsidRPr="00EF1F04">
        <w:rPr>
          <w:highlight w:val="cyan"/>
        </w:rPr>
        <w:lastRenderedPageBreak/>
        <w:t>Exhibit XX –</w:t>
      </w:r>
      <w:r>
        <w:t xml:space="preserve"> Links with Greater than 10 Percent Change in Vehicle Hours Travelled </w:t>
      </w:r>
    </w:p>
    <w:p w14:paraId="21849642" w14:textId="77777777" w:rsidR="00240FBF" w:rsidRDefault="00240FBF" w:rsidP="00240FBF">
      <w:pPr>
        <w:pStyle w:val="ExhibitTitle"/>
        <w:rPr>
          <w:noProof/>
        </w:rPr>
      </w:pPr>
      <w:r>
        <w:rPr>
          <w:noProof/>
        </w:rPr>
        <w:drawing>
          <wp:inline distT="0" distB="0" distL="0" distR="0" wp14:anchorId="76852812" wp14:editId="28388864">
            <wp:extent cx="5148943" cy="799165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93820" cy="8061308"/>
                    </a:xfrm>
                    <a:prstGeom prst="rect">
                      <a:avLst/>
                    </a:prstGeom>
                  </pic:spPr>
                </pic:pic>
              </a:graphicData>
            </a:graphic>
          </wp:inline>
        </w:drawing>
      </w:r>
    </w:p>
    <w:p w14:paraId="2DE81D9B" w14:textId="77777777" w:rsidR="00611550" w:rsidRDefault="00611550" w:rsidP="00611550">
      <w:pPr>
        <w:pStyle w:val="Style2Heading"/>
      </w:pPr>
      <w:r>
        <w:lastRenderedPageBreak/>
        <w:t>Data Sources and Information Collected</w:t>
      </w:r>
    </w:p>
    <w:p w14:paraId="061737A1" w14:textId="77777777" w:rsidR="00240FBF" w:rsidRDefault="00240FBF" w:rsidP="00240FBF">
      <w:r w:rsidRPr="00A037F6">
        <w:rPr>
          <w:highlight w:val="cyan"/>
        </w:rPr>
        <w:t>The WSDOT Eastern Region Planning office provided traffic information from the regional travel model. Data was provided in six time periods: AM and PM peak hours, AM (6-9 am), mid-day (9 am to 3 pm), PM (3-6 pm), and overnight (6 pm to 6 am). Data included link length, average speed, and volume, as well as link identification information.</w:t>
      </w:r>
      <w:r>
        <w:t xml:space="preserve"> </w:t>
      </w:r>
    </w:p>
    <w:p w14:paraId="43BDDC74" w14:textId="77777777" w:rsidR="00240FBF" w:rsidRDefault="00240FBF" w:rsidP="00240FBF"/>
    <w:p w14:paraId="65BF141F" w14:textId="77777777" w:rsidR="00240FBF" w:rsidRDefault="00240FBF" w:rsidP="00240FBF">
      <w:r>
        <w:t xml:space="preserve">From this traffic </w:t>
      </w:r>
      <w:r w:rsidRPr="000619D3">
        <w:t>data, three the</w:t>
      </w:r>
      <w:r>
        <w:t xml:space="preserve"> MOVES input files were generated. </w:t>
      </w:r>
    </w:p>
    <w:p w14:paraId="6E73DC20" w14:textId="77777777" w:rsidR="00240FBF" w:rsidRDefault="00240FBF" w:rsidP="00240FBF"/>
    <w:p w14:paraId="6DD0A2EB" w14:textId="77777777" w:rsidR="00240FBF" w:rsidRDefault="00240FBF" w:rsidP="00240FBF">
      <w:r w:rsidRPr="00A037F6">
        <w:rPr>
          <w:highlight w:val="cyan"/>
        </w:rPr>
        <w:t>Exhibit XX</w:t>
      </w:r>
      <w:r>
        <w:t xml:space="preserve"> documents the input files used and the source of each file. The process for generating project specific files is described below. </w:t>
      </w:r>
    </w:p>
    <w:p w14:paraId="780715C4" w14:textId="77777777" w:rsidR="00240FBF" w:rsidRDefault="00240FBF" w:rsidP="00240FBF"/>
    <w:p w14:paraId="42DAFEE8" w14:textId="77777777" w:rsidR="00240FBF" w:rsidRDefault="00240FBF" w:rsidP="00240FBF">
      <w:pPr>
        <w:pStyle w:val="ExhibitTitle"/>
      </w:pPr>
      <w:r w:rsidRPr="00EF1F04">
        <w:rPr>
          <w:highlight w:val="cyan"/>
        </w:rPr>
        <w:t>Exhibit XX</w:t>
      </w:r>
      <w:r>
        <w:t xml:space="preserve"> – MOVES Inputs </w:t>
      </w:r>
    </w:p>
    <w:tbl>
      <w:tblPr>
        <w:tblW w:w="9360" w:type="dxa"/>
        <w:tblBorders>
          <w:top w:val="single" w:sz="12" w:space="0" w:color="auto"/>
          <w:bottom w:val="single" w:sz="12" w:space="0" w:color="auto"/>
          <w:insideH w:val="single" w:sz="4" w:space="0" w:color="D9D9D9" w:themeColor="background1" w:themeShade="D9"/>
        </w:tblBorders>
        <w:tblLook w:val="04A0" w:firstRow="1" w:lastRow="0" w:firstColumn="1" w:lastColumn="0" w:noHBand="0" w:noVBand="1"/>
      </w:tblPr>
      <w:tblGrid>
        <w:gridCol w:w="4410"/>
        <w:gridCol w:w="4950"/>
      </w:tblGrid>
      <w:tr w:rsidR="00240FBF" w:rsidRPr="00D14154" w14:paraId="1ECDA378" w14:textId="77777777" w:rsidTr="00E96B7F">
        <w:tc>
          <w:tcPr>
            <w:tcW w:w="4410" w:type="dxa"/>
            <w:tcBorders>
              <w:bottom w:val="single" w:sz="12" w:space="0" w:color="auto"/>
            </w:tcBorders>
          </w:tcPr>
          <w:p w14:paraId="6671EA1D" w14:textId="77777777" w:rsidR="00240FBF" w:rsidRPr="00D14154" w:rsidRDefault="00240FBF" w:rsidP="00E96B7F">
            <w:r>
              <w:t>Input File</w:t>
            </w:r>
          </w:p>
        </w:tc>
        <w:tc>
          <w:tcPr>
            <w:tcW w:w="4950" w:type="dxa"/>
            <w:tcBorders>
              <w:bottom w:val="single" w:sz="12" w:space="0" w:color="auto"/>
            </w:tcBorders>
          </w:tcPr>
          <w:p w14:paraId="3B2F4097" w14:textId="77777777" w:rsidR="00240FBF" w:rsidRPr="00D14154" w:rsidRDefault="00240FBF" w:rsidP="00E96B7F">
            <w:r>
              <w:t>Data Source</w:t>
            </w:r>
          </w:p>
        </w:tc>
      </w:tr>
      <w:tr w:rsidR="00240FBF" w14:paraId="6459D238" w14:textId="77777777" w:rsidTr="00E96B7F">
        <w:tc>
          <w:tcPr>
            <w:tcW w:w="4410" w:type="dxa"/>
            <w:tcBorders>
              <w:top w:val="single" w:sz="12" w:space="0" w:color="auto"/>
            </w:tcBorders>
            <w:vAlign w:val="center"/>
          </w:tcPr>
          <w:p w14:paraId="5204F86D" w14:textId="77777777" w:rsidR="00240FBF" w:rsidRPr="008D6886" w:rsidRDefault="00240FBF" w:rsidP="00E96B7F">
            <w:r w:rsidRPr="008D6886">
              <w:t>Age Distribution</w:t>
            </w:r>
          </w:p>
        </w:tc>
        <w:tc>
          <w:tcPr>
            <w:tcW w:w="4950" w:type="dxa"/>
            <w:tcBorders>
              <w:top w:val="single" w:sz="12" w:space="0" w:color="auto"/>
            </w:tcBorders>
            <w:vAlign w:val="center"/>
          </w:tcPr>
          <w:p w14:paraId="23BB5287" w14:textId="77777777" w:rsidR="00240FBF" w:rsidRPr="00A037F6" w:rsidRDefault="00240FBF" w:rsidP="00E96B7F">
            <w:pPr>
              <w:rPr>
                <w:highlight w:val="cyan"/>
              </w:rPr>
            </w:pPr>
            <w:r w:rsidRPr="00A037F6">
              <w:rPr>
                <w:highlight w:val="cyan"/>
              </w:rPr>
              <w:t>Ecology</w:t>
            </w:r>
          </w:p>
        </w:tc>
      </w:tr>
      <w:tr w:rsidR="00240FBF" w14:paraId="20F433C0" w14:textId="77777777" w:rsidTr="00E96B7F">
        <w:tc>
          <w:tcPr>
            <w:tcW w:w="4410" w:type="dxa"/>
            <w:vAlign w:val="center"/>
          </w:tcPr>
          <w:p w14:paraId="64E28BA1" w14:textId="77777777" w:rsidR="00240FBF" w:rsidRPr="00393212" w:rsidRDefault="00240FBF" w:rsidP="00E96B7F">
            <w:r w:rsidRPr="00393212">
              <w:t>Average Speed Distribution</w:t>
            </w:r>
          </w:p>
        </w:tc>
        <w:tc>
          <w:tcPr>
            <w:tcW w:w="4950" w:type="dxa"/>
            <w:vAlign w:val="center"/>
          </w:tcPr>
          <w:p w14:paraId="62137ECC" w14:textId="77777777" w:rsidR="00240FBF" w:rsidRPr="00A037F6" w:rsidRDefault="00240FBF" w:rsidP="00E96B7F">
            <w:pPr>
              <w:rPr>
                <w:highlight w:val="cyan"/>
              </w:rPr>
            </w:pPr>
            <w:r w:rsidRPr="00A037F6">
              <w:rPr>
                <w:highlight w:val="cyan"/>
              </w:rPr>
              <w:t xml:space="preserve">Project specific </w:t>
            </w:r>
          </w:p>
        </w:tc>
      </w:tr>
      <w:tr w:rsidR="00240FBF" w14:paraId="20689237" w14:textId="77777777" w:rsidTr="00E96B7F">
        <w:tc>
          <w:tcPr>
            <w:tcW w:w="4410" w:type="dxa"/>
            <w:vAlign w:val="center"/>
          </w:tcPr>
          <w:p w14:paraId="537205D8" w14:textId="77777777" w:rsidR="00240FBF" w:rsidRPr="00393212" w:rsidRDefault="00240FBF" w:rsidP="00E96B7F">
            <w:r w:rsidRPr="00393212">
              <w:t>Day VMT</w:t>
            </w:r>
          </w:p>
        </w:tc>
        <w:tc>
          <w:tcPr>
            <w:tcW w:w="4950" w:type="dxa"/>
            <w:vAlign w:val="center"/>
          </w:tcPr>
          <w:p w14:paraId="5857190B" w14:textId="77777777" w:rsidR="00240FBF" w:rsidRPr="00A037F6" w:rsidRDefault="00240FBF" w:rsidP="00E96B7F">
            <w:pPr>
              <w:rPr>
                <w:highlight w:val="cyan"/>
              </w:rPr>
            </w:pPr>
            <w:r w:rsidRPr="00A037F6">
              <w:rPr>
                <w:highlight w:val="cyan"/>
              </w:rPr>
              <w:t>Ecology</w:t>
            </w:r>
          </w:p>
        </w:tc>
      </w:tr>
      <w:tr w:rsidR="00240FBF" w14:paraId="6D725CAE" w14:textId="77777777" w:rsidTr="00E96B7F">
        <w:tc>
          <w:tcPr>
            <w:tcW w:w="4410" w:type="dxa"/>
            <w:vAlign w:val="center"/>
          </w:tcPr>
          <w:p w14:paraId="66BE0BF0" w14:textId="77777777" w:rsidR="00240FBF" w:rsidRPr="00393212" w:rsidRDefault="00240FBF" w:rsidP="00E96B7F">
            <w:r w:rsidRPr="00393212">
              <w:t>Fuel (fuel supply, fuel formulation, fuel use fraction)</w:t>
            </w:r>
          </w:p>
        </w:tc>
        <w:tc>
          <w:tcPr>
            <w:tcW w:w="4950" w:type="dxa"/>
            <w:vAlign w:val="center"/>
          </w:tcPr>
          <w:p w14:paraId="23DCECBA" w14:textId="77777777" w:rsidR="00240FBF" w:rsidRPr="00A037F6" w:rsidRDefault="00240FBF" w:rsidP="00E96B7F">
            <w:pPr>
              <w:rPr>
                <w:highlight w:val="cyan"/>
              </w:rPr>
            </w:pPr>
            <w:r w:rsidRPr="00A037F6">
              <w:rPr>
                <w:highlight w:val="cyan"/>
              </w:rPr>
              <w:t xml:space="preserve">Default </w:t>
            </w:r>
          </w:p>
        </w:tc>
      </w:tr>
      <w:tr w:rsidR="00240FBF" w14:paraId="564F2BBD" w14:textId="77777777" w:rsidTr="00E96B7F">
        <w:tc>
          <w:tcPr>
            <w:tcW w:w="4410" w:type="dxa"/>
            <w:vAlign w:val="center"/>
          </w:tcPr>
          <w:p w14:paraId="575A797E" w14:textId="77777777" w:rsidR="00240FBF" w:rsidRPr="00393212" w:rsidRDefault="00240FBF" w:rsidP="00E96B7F">
            <w:r w:rsidRPr="00393212">
              <w:t>Hour VMT</w:t>
            </w:r>
          </w:p>
        </w:tc>
        <w:tc>
          <w:tcPr>
            <w:tcW w:w="4950" w:type="dxa"/>
            <w:vAlign w:val="center"/>
          </w:tcPr>
          <w:p w14:paraId="44F3C165" w14:textId="77777777" w:rsidR="00240FBF" w:rsidRPr="00A037F6" w:rsidRDefault="00240FBF" w:rsidP="00E96B7F">
            <w:pPr>
              <w:rPr>
                <w:highlight w:val="cyan"/>
              </w:rPr>
            </w:pPr>
            <w:r w:rsidRPr="00A037F6">
              <w:rPr>
                <w:highlight w:val="cyan"/>
              </w:rPr>
              <w:t>Ecology</w:t>
            </w:r>
          </w:p>
        </w:tc>
      </w:tr>
      <w:tr w:rsidR="00240FBF" w14:paraId="69DA4D65" w14:textId="77777777" w:rsidTr="00E96B7F">
        <w:tc>
          <w:tcPr>
            <w:tcW w:w="4410" w:type="dxa"/>
            <w:vAlign w:val="center"/>
          </w:tcPr>
          <w:p w14:paraId="364DC8A7" w14:textId="77777777" w:rsidR="00240FBF" w:rsidRPr="00393212" w:rsidRDefault="00240FBF" w:rsidP="00E96B7F">
            <w:r w:rsidRPr="00393212">
              <w:t>I/M</w:t>
            </w:r>
          </w:p>
        </w:tc>
        <w:tc>
          <w:tcPr>
            <w:tcW w:w="4950" w:type="dxa"/>
            <w:vAlign w:val="center"/>
          </w:tcPr>
          <w:p w14:paraId="61178416" w14:textId="77777777" w:rsidR="00240FBF" w:rsidRPr="00A037F6" w:rsidRDefault="00240FBF" w:rsidP="00E96B7F">
            <w:pPr>
              <w:rPr>
                <w:highlight w:val="cyan"/>
              </w:rPr>
            </w:pPr>
            <w:r w:rsidRPr="00A037F6">
              <w:rPr>
                <w:highlight w:val="cyan"/>
              </w:rPr>
              <w:t>Existing (2010) – Ecology</w:t>
            </w:r>
          </w:p>
          <w:p w14:paraId="5E331C87" w14:textId="77777777" w:rsidR="00240FBF" w:rsidRPr="00A037F6" w:rsidRDefault="00240FBF" w:rsidP="00E96B7F">
            <w:pPr>
              <w:rPr>
                <w:highlight w:val="cyan"/>
              </w:rPr>
            </w:pPr>
            <w:r w:rsidRPr="00A037F6">
              <w:rPr>
                <w:highlight w:val="cyan"/>
              </w:rPr>
              <w:t>2040 (Build and No Build) – No I/M program</w:t>
            </w:r>
          </w:p>
        </w:tc>
      </w:tr>
      <w:tr w:rsidR="00240FBF" w14:paraId="232F61E1" w14:textId="77777777" w:rsidTr="00E96B7F">
        <w:tc>
          <w:tcPr>
            <w:tcW w:w="4410" w:type="dxa"/>
            <w:vAlign w:val="center"/>
          </w:tcPr>
          <w:p w14:paraId="76D7FA2C" w14:textId="77777777" w:rsidR="00240FBF" w:rsidRPr="00393212" w:rsidRDefault="00240FBF" w:rsidP="00E96B7F">
            <w:r w:rsidRPr="00393212">
              <w:t>Meteorological Data</w:t>
            </w:r>
          </w:p>
        </w:tc>
        <w:tc>
          <w:tcPr>
            <w:tcW w:w="4950" w:type="dxa"/>
            <w:vAlign w:val="center"/>
          </w:tcPr>
          <w:p w14:paraId="56A56C0F" w14:textId="77777777" w:rsidR="00240FBF" w:rsidRPr="00A037F6" w:rsidRDefault="00240FBF" w:rsidP="00E96B7F">
            <w:pPr>
              <w:rPr>
                <w:highlight w:val="cyan"/>
              </w:rPr>
            </w:pPr>
            <w:r w:rsidRPr="00A037F6">
              <w:rPr>
                <w:highlight w:val="cyan"/>
              </w:rPr>
              <w:t>Default</w:t>
            </w:r>
          </w:p>
        </w:tc>
      </w:tr>
      <w:tr w:rsidR="00240FBF" w14:paraId="6ECE582F" w14:textId="77777777" w:rsidTr="00E96B7F">
        <w:tc>
          <w:tcPr>
            <w:tcW w:w="4410" w:type="dxa"/>
            <w:vAlign w:val="center"/>
          </w:tcPr>
          <w:p w14:paraId="6BCAB3D3" w14:textId="77777777" w:rsidR="00240FBF" w:rsidRPr="00393212" w:rsidRDefault="00240FBF" w:rsidP="00E96B7F">
            <w:r w:rsidRPr="00393212">
              <w:t>Month VMT</w:t>
            </w:r>
          </w:p>
        </w:tc>
        <w:tc>
          <w:tcPr>
            <w:tcW w:w="4950" w:type="dxa"/>
            <w:vAlign w:val="center"/>
          </w:tcPr>
          <w:p w14:paraId="5A61A39B" w14:textId="77777777" w:rsidR="00240FBF" w:rsidRPr="00A037F6" w:rsidRDefault="00240FBF" w:rsidP="00E96B7F">
            <w:pPr>
              <w:rPr>
                <w:highlight w:val="cyan"/>
              </w:rPr>
            </w:pPr>
            <w:r w:rsidRPr="00A037F6">
              <w:rPr>
                <w:highlight w:val="cyan"/>
              </w:rPr>
              <w:t>Ecology</w:t>
            </w:r>
          </w:p>
        </w:tc>
      </w:tr>
      <w:tr w:rsidR="00240FBF" w14:paraId="211AE6B3" w14:textId="77777777" w:rsidTr="00E96B7F">
        <w:tc>
          <w:tcPr>
            <w:tcW w:w="4410" w:type="dxa"/>
            <w:vAlign w:val="center"/>
          </w:tcPr>
          <w:p w14:paraId="7D19EBF8" w14:textId="77777777" w:rsidR="00240FBF" w:rsidRPr="00393212" w:rsidRDefault="00240FBF" w:rsidP="00E96B7F">
            <w:r w:rsidRPr="00393212">
              <w:t>Ramp Fraction</w:t>
            </w:r>
          </w:p>
        </w:tc>
        <w:tc>
          <w:tcPr>
            <w:tcW w:w="4950" w:type="dxa"/>
            <w:vAlign w:val="center"/>
          </w:tcPr>
          <w:p w14:paraId="667E94AF" w14:textId="77777777" w:rsidR="00240FBF" w:rsidRPr="00A037F6" w:rsidRDefault="00240FBF" w:rsidP="00E96B7F">
            <w:pPr>
              <w:rPr>
                <w:highlight w:val="cyan"/>
              </w:rPr>
            </w:pPr>
            <w:r w:rsidRPr="00A037F6">
              <w:rPr>
                <w:highlight w:val="cyan"/>
              </w:rPr>
              <w:t>Default</w:t>
            </w:r>
          </w:p>
        </w:tc>
      </w:tr>
      <w:tr w:rsidR="00240FBF" w14:paraId="192C2A0A" w14:textId="77777777" w:rsidTr="00E96B7F">
        <w:tc>
          <w:tcPr>
            <w:tcW w:w="4410" w:type="dxa"/>
            <w:vAlign w:val="center"/>
          </w:tcPr>
          <w:p w14:paraId="201134CD" w14:textId="77777777" w:rsidR="00240FBF" w:rsidRPr="00393212" w:rsidRDefault="00240FBF" w:rsidP="00E96B7F">
            <w:r w:rsidRPr="00393212">
              <w:t>Road Type Distribution</w:t>
            </w:r>
          </w:p>
        </w:tc>
        <w:tc>
          <w:tcPr>
            <w:tcW w:w="4950" w:type="dxa"/>
            <w:vAlign w:val="center"/>
          </w:tcPr>
          <w:p w14:paraId="4F2352CC" w14:textId="77777777" w:rsidR="00240FBF" w:rsidRPr="00A037F6" w:rsidRDefault="00240FBF" w:rsidP="00E96B7F">
            <w:pPr>
              <w:rPr>
                <w:highlight w:val="cyan"/>
              </w:rPr>
            </w:pPr>
            <w:r w:rsidRPr="00A037F6">
              <w:rPr>
                <w:highlight w:val="cyan"/>
              </w:rPr>
              <w:t>Project specific</w:t>
            </w:r>
          </w:p>
        </w:tc>
      </w:tr>
      <w:tr w:rsidR="00240FBF" w14:paraId="2D13511C" w14:textId="77777777" w:rsidTr="00E96B7F">
        <w:tc>
          <w:tcPr>
            <w:tcW w:w="4410" w:type="dxa"/>
            <w:vAlign w:val="center"/>
          </w:tcPr>
          <w:p w14:paraId="4E557183" w14:textId="77777777" w:rsidR="00240FBF" w:rsidRPr="00393212" w:rsidRDefault="00240FBF" w:rsidP="00E96B7F">
            <w:r w:rsidRPr="00393212">
              <w:t>Source Type Population</w:t>
            </w:r>
          </w:p>
        </w:tc>
        <w:tc>
          <w:tcPr>
            <w:tcW w:w="4950" w:type="dxa"/>
            <w:vAlign w:val="center"/>
          </w:tcPr>
          <w:p w14:paraId="3EF08B0D" w14:textId="77777777" w:rsidR="00240FBF" w:rsidRPr="00A037F6" w:rsidRDefault="00240FBF" w:rsidP="00E96B7F">
            <w:pPr>
              <w:rPr>
                <w:highlight w:val="cyan"/>
              </w:rPr>
            </w:pPr>
            <w:r w:rsidRPr="00A037F6">
              <w:rPr>
                <w:highlight w:val="cyan"/>
              </w:rPr>
              <w:t>Ecology</w:t>
            </w:r>
          </w:p>
        </w:tc>
      </w:tr>
      <w:tr w:rsidR="00240FBF" w14:paraId="4655646B" w14:textId="77777777" w:rsidTr="00E96B7F">
        <w:tc>
          <w:tcPr>
            <w:tcW w:w="4410" w:type="dxa"/>
            <w:vAlign w:val="center"/>
          </w:tcPr>
          <w:p w14:paraId="591B5B6A" w14:textId="77777777" w:rsidR="00240FBF" w:rsidRPr="00393212" w:rsidRDefault="00240FBF" w:rsidP="00E96B7F">
            <w:r w:rsidRPr="00393212">
              <w:t>Source Type VMT</w:t>
            </w:r>
          </w:p>
        </w:tc>
        <w:tc>
          <w:tcPr>
            <w:tcW w:w="4950" w:type="dxa"/>
            <w:vAlign w:val="center"/>
          </w:tcPr>
          <w:p w14:paraId="098ECCD9" w14:textId="77777777" w:rsidR="00240FBF" w:rsidRPr="00A037F6" w:rsidRDefault="00240FBF" w:rsidP="00E96B7F">
            <w:pPr>
              <w:rPr>
                <w:highlight w:val="cyan"/>
              </w:rPr>
            </w:pPr>
            <w:r w:rsidRPr="00A037F6">
              <w:rPr>
                <w:highlight w:val="cyan"/>
              </w:rPr>
              <w:t>Project specific</w:t>
            </w:r>
          </w:p>
        </w:tc>
      </w:tr>
    </w:tbl>
    <w:p w14:paraId="54FA3091" w14:textId="77777777" w:rsidR="00240FBF" w:rsidRDefault="00240FBF" w:rsidP="00240FBF"/>
    <w:p w14:paraId="6EDC13AB" w14:textId="77777777" w:rsidR="00240FBF" w:rsidRDefault="00240FBF" w:rsidP="00D47526"/>
    <w:p w14:paraId="27C8A276" w14:textId="77777777" w:rsidR="00240FBF" w:rsidRDefault="00240FBF" w:rsidP="007C589D">
      <w:pPr>
        <w:pStyle w:val="Style3Heading"/>
      </w:pPr>
      <w:r>
        <w:t xml:space="preserve">Road Type Distribution </w:t>
      </w:r>
    </w:p>
    <w:p w14:paraId="07CC602D" w14:textId="77777777" w:rsidR="00240FBF" w:rsidRDefault="00240FBF" w:rsidP="00240FBF">
      <w:r>
        <w:t>Road type was assigned to all links based on names in traffic file</w:t>
      </w:r>
      <w:r w:rsidRPr="00A037F6">
        <w:rPr>
          <w:highlight w:val="cyan"/>
        </w:rPr>
        <w:t>; North Spokane Corridor, I-90, and ramp links were labeled as urban restricted (RoadType 5) and all other links were urban unrestricted (4).</w:t>
      </w:r>
      <w:r>
        <w:t xml:space="preserve"> </w:t>
      </w:r>
    </w:p>
    <w:p w14:paraId="46925F3C" w14:textId="77777777" w:rsidR="00240FBF" w:rsidRDefault="00240FBF" w:rsidP="00240FBF"/>
    <w:p w14:paraId="785C662C" w14:textId="77777777" w:rsidR="00240FBF" w:rsidRPr="00291433" w:rsidRDefault="00240FBF" w:rsidP="00240FBF">
      <w:r w:rsidRPr="00A037F6">
        <w:rPr>
          <w:highlight w:val="cyan"/>
        </w:rPr>
        <w:t>For each period, VMT for each link was calculated by multiplying the link length by the link volume for that period. These VMT values were then summed for the total VMT by road type.</w:t>
      </w:r>
      <w:r w:rsidRPr="00291433">
        <w:t xml:space="preserve"> </w:t>
      </w:r>
    </w:p>
    <w:p w14:paraId="0BC89CF9" w14:textId="77777777" w:rsidR="00240FBF" w:rsidRPr="00291433" w:rsidRDefault="00240FBF" w:rsidP="00240FBF"/>
    <w:p w14:paraId="192FF300" w14:textId="77777777" w:rsidR="00240FBF" w:rsidRPr="00A037F6" w:rsidRDefault="00240FBF" w:rsidP="00240FBF">
      <w:pPr>
        <w:rPr>
          <w:highlight w:val="cyan"/>
        </w:rPr>
      </w:pPr>
      <w:r w:rsidRPr="00A037F6">
        <w:rPr>
          <w:highlight w:val="cyan"/>
        </w:rPr>
        <w:lastRenderedPageBreak/>
        <w:t>Total VMT by road type was parsed to vehicle type. Project traffic engineers reported truck percentages on arterials as 3 percent and on restricted roads at 10 percent.</w:t>
      </w:r>
      <w:r w:rsidRPr="00A037F6">
        <w:rPr>
          <w:rStyle w:val="FootnoteReference"/>
          <w:highlight w:val="cyan"/>
        </w:rPr>
        <w:footnoteReference w:id="16"/>
      </w:r>
      <w:r w:rsidRPr="00A037F6">
        <w:rPr>
          <w:highlight w:val="cyan"/>
        </w:rPr>
        <w:t xml:space="preserve"> Source types were assigned to truck or non-truck fractions as follows:</w:t>
      </w:r>
    </w:p>
    <w:p w14:paraId="5F8A1838" w14:textId="77777777" w:rsidR="00240FBF" w:rsidRPr="00A037F6" w:rsidRDefault="00240FBF" w:rsidP="00240FBF">
      <w:pPr>
        <w:pStyle w:val="ListParagraph"/>
        <w:numPr>
          <w:ilvl w:val="0"/>
          <w:numId w:val="3"/>
        </w:numPr>
        <w:rPr>
          <w:highlight w:val="cyan"/>
        </w:rPr>
      </w:pPr>
      <w:r w:rsidRPr="00A037F6">
        <w:rPr>
          <w:highlight w:val="cyan"/>
        </w:rPr>
        <w:t>Non-Truck Fraction: 11, 21, 31, 32, 41, 42, 43</w:t>
      </w:r>
    </w:p>
    <w:p w14:paraId="4FD018A6" w14:textId="77777777" w:rsidR="00240FBF" w:rsidRDefault="00240FBF" w:rsidP="00240FBF">
      <w:pPr>
        <w:pStyle w:val="ListParagraph"/>
        <w:numPr>
          <w:ilvl w:val="0"/>
          <w:numId w:val="3"/>
        </w:numPr>
        <w:rPr>
          <w:highlight w:val="cyan"/>
        </w:rPr>
      </w:pPr>
      <w:r w:rsidRPr="00A037F6">
        <w:rPr>
          <w:highlight w:val="cyan"/>
        </w:rPr>
        <w:t>Truck Fraction: 51, 52, 53, 54, 61, 62</w:t>
      </w:r>
    </w:p>
    <w:p w14:paraId="74F22EAA" w14:textId="77777777" w:rsidR="00240FBF" w:rsidRDefault="00240FBF" w:rsidP="00D47526"/>
    <w:p w14:paraId="39BD2BF9" w14:textId="77777777" w:rsidR="00240FBF" w:rsidRDefault="00240FBF" w:rsidP="007C589D">
      <w:pPr>
        <w:pStyle w:val="Style3Heading"/>
      </w:pPr>
      <w:r>
        <w:t>Average Speed Distribution</w:t>
      </w:r>
    </w:p>
    <w:p w14:paraId="5DD4F4E5" w14:textId="77777777" w:rsidR="00240FBF" w:rsidRDefault="00240FBF" w:rsidP="00240FBF">
      <w:r w:rsidRPr="00A037F6">
        <w:rPr>
          <w:highlight w:val="cyan"/>
        </w:rPr>
        <w:t>The total vehicle hours traveled (VHT) was calculated for each link and summed for all links in the time period (AM, mid-day, etc.) Fractions were calculated for each link by period by dividing link VHT by the period’s total VHT. Finally, for each period, the link fractions were summed by speed bin and road type to generate the average speed distribution inputs.</w:t>
      </w:r>
      <w:r>
        <w:t xml:space="preserve"> </w:t>
      </w:r>
    </w:p>
    <w:p w14:paraId="43DAE1B0" w14:textId="77777777" w:rsidR="00240FBF" w:rsidRDefault="00240FBF" w:rsidP="007C589D">
      <w:pPr>
        <w:pStyle w:val="Style3Heading"/>
      </w:pPr>
      <w:r>
        <w:t>Source Type VMT</w:t>
      </w:r>
    </w:p>
    <w:p w14:paraId="58706A1A" w14:textId="77777777" w:rsidR="00240FBF" w:rsidRDefault="00240FBF" w:rsidP="00240FBF">
      <w:r w:rsidRPr="00A037F6">
        <w:rPr>
          <w:highlight w:val="cyan"/>
        </w:rPr>
        <w:t>As part of the dispersion modeling, FHWA calculated source type fractions. The same fractions were used to parse the total VMT for each road type across the vehicle source types for the MSAT, GHG, and Energy analysis.</w:t>
      </w:r>
      <w:r>
        <w:t xml:space="preserve"> </w:t>
      </w:r>
    </w:p>
    <w:p w14:paraId="0AB5C3E8" w14:textId="77777777" w:rsidR="00240FBF" w:rsidRDefault="00240FBF" w:rsidP="00D47526"/>
    <w:p w14:paraId="3305A247" w14:textId="77777777" w:rsidR="00240FBF" w:rsidRDefault="00240FBF" w:rsidP="00611550">
      <w:pPr>
        <w:pStyle w:val="Style3Heading"/>
      </w:pPr>
      <w:r>
        <w:t>Post-Processing</w:t>
      </w:r>
    </w:p>
    <w:p w14:paraId="2EC75C72" w14:textId="2A312FFA" w:rsidR="00240FBF" w:rsidRDefault="00240FBF" w:rsidP="00240FBF">
      <w:r w:rsidRPr="00A037F6">
        <w:rPr>
          <w:highlight w:val="cyan"/>
        </w:rPr>
        <w:t>MOVES outputs were decoded using the built-in decoder script. Emissions were exported with Day ID and Fuel Type ID. Emissions from weekdays and weekends were separately divided by twelve (because the run included all 12 months) and then multiplied by the number of days each day type occurs in the week (weekdays by 5 and weekends by 2). Finally, weekend and weekday quantities were summed and divided by seven to arrive at average daily emissions.</w:t>
      </w:r>
    </w:p>
    <w:p w14:paraId="7A2D44AE" w14:textId="351D3E4C" w:rsidR="00240FBF" w:rsidRDefault="00240FBF" w:rsidP="00D47526"/>
    <w:p w14:paraId="0780C95B" w14:textId="77777777" w:rsidR="00240FBF" w:rsidRDefault="00240FBF" w:rsidP="00240FBF">
      <w:pPr>
        <w:pStyle w:val="ExhibitTitle"/>
      </w:pPr>
      <w:r w:rsidRPr="008B1DFE">
        <w:lastRenderedPageBreak/>
        <w:t>Exhibit</w:t>
      </w:r>
      <w:r>
        <w:t xml:space="preserve"> </w:t>
      </w:r>
      <w:r w:rsidRPr="00A037F6">
        <w:rPr>
          <w:highlight w:val="cyan"/>
        </w:rPr>
        <w:t>XX</w:t>
      </w:r>
      <w:r>
        <w:t xml:space="preserve"> – MOVES Settings</w:t>
      </w:r>
    </w:p>
    <w:tbl>
      <w:tblPr>
        <w:tblW w:w="9360" w:type="dxa"/>
        <w:tblBorders>
          <w:top w:val="single" w:sz="12" w:space="0" w:color="auto"/>
          <w:bottom w:val="single" w:sz="12" w:space="0" w:color="auto"/>
          <w:insideH w:val="single" w:sz="4" w:space="0" w:color="D9D9D9" w:themeColor="background1" w:themeShade="D9"/>
        </w:tblBorders>
        <w:tblLook w:val="04A0" w:firstRow="1" w:lastRow="0" w:firstColumn="1" w:lastColumn="0" w:noHBand="0" w:noVBand="1"/>
      </w:tblPr>
      <w:tblGrid>
        <w:gridCol w:w="2282"/>
        <w:gridCol w:w="3137"/>
        <w:gridCol w:w="3941"/>
      </w:tblGrid>
      <w:tr w:rsidR="00240FBF" w:rsidRPr="00D14154" w14:paraId="0292F94C" w14:textId="77777777" w:rsidTr="00E96B7F">
        <w:tc>
          <w:tcPr>
            <w:tcW w:w="2282" w:type="dxa"/>
            <w:tcBorders>
              <w:bottom w:val="single" w:sz="12" w:space="0" w:color="auto"/>
            </w:tcBorders>
          </w:tcPr>
          <w:p w14:paraId="72B95A1C" w14:textId="77777777" w:rsidR="00240FBF" w:rsidRPr="00D14154" w:rsidRDefault="00240FBF" w:rsidP="00E96B7F">
            <w:pPr>
              <w:keepNext/>
            </w:pPr>
            <w:r>
              <w:t>Navigation Panel</w:t>
            </w:r>
          </w:p>
        </w:tc>
        <w:tc>
          <w:tcPr>
            <w:tcW w:w="3137" w:type="dxa"/>
            <w:tcBorders>
              <w:bottom w:val="single" w:sz="12" w:space="0" w:color="auto"/>
            </w:tcBorders>
          </w:tcPr>
          <w:p w14:paraId="4BC2CAE6" w14:textId="77777777" w:rsidR="00240FBF" w:rsidRDefault="00240FBF" w:rsidP="00E96B7F">
            <w:pPr>
              <w:keepNext/>
            </w:pPr>
            <w:r>
              <w:t>Setting</w:t>
            </w:r>
          </w:p>
        </w:tc>
        <w:tc>
          <w:tcPr>
            <w:tcW w:w="3941" w:type="dxa"/>
            <w:tcBorders>
              <w:bottom w:val="single" w:sz="12" w:space="0" w:color="auto"/>
            </w:tcBorders>
          </w:tcPr>
          <w:p w14:paraId="0AEEB499" w14:textId="77777777" w:rsidR="00240FBF" w:rsidRPr="00D14154" w:rsidRDefault="00240FBF" w:rsidP="00E96B7F">
            <w:pPr>
              <w:keepNext/>
            </w:pPr>
            <w:r>
              <w:t>Selections</w:t>
            </w:r>
          </w:p>
        </w:tc>
      </w:tr>
      <w:tr w:rsidR="00240FBF" w14:paraId="6592DC4E" w14:textId="77777777" w:rsidTr="00E96B7F">
        <w:tc>
          <w:tcPr>
            <w:tcW w:w="2282" w:type="dxa"/>
            <w:vMerge w:val="restart"/>
            <w:vAlign w:val="center"/>
          </w:tcPr>
          <w:p w14:paraId="5B72966D" w14:textId="77777777" w:rsidR="00240FBF" w:rsidRPr="001C5B7C" w:rsidRDefault="00240FBF" w:rsidP="00E96B7F">
            <w:pPr>
              <w:keepNext/>
            </w:pPr>
            <w:r w:rsidRPr="001C5B7C">
              <w:t>Scale</w:t>
            </w:r>
          </w:p>
        </w:tc>
        <w:tc>
          <w:tcPr>
            <w:tcW w:w="3137" w:type="dxa"/>
          </w:tcPr>
          <w:p w14:paraId="5601A7D2" w14:textId="77777777" w:rsidR="00240FBF" w:rsidRPr="001C5B7C" w:rsidRDefault="00240FBF" w:rsidP="00E96B7F">
            <w:pPr>
              <w:keepNext/>
            </w:pPr>
            <w:r w:rsidRPr="001C5B7C">
              <w:t>Model</w:t>
            </w:r>
          </w:p>
        </w:tc>
        <w:tc>
          <w:tcPr>
            <w:tcW w:w="3941" w:type="dxa"/>
          </w:tcPr>
          <w:p w14:paraId="188FF411" w14:textId="77777777" w:rsidR="00240FBF" w:rsidRPr="00A037F6" w:rsidRDefault="00240FBF" w:rsidP="00E96B7F">
            <w:pPr>
              <w:keepNext/>
              <w:rPr>
                <w:highlight w:val="cyan"/>
              </w:rPr>
            </w:pPr>
            <w:r w:rsidRPr="00A037F6">
              <w:rPr>
                <w:highlight w:val="cyan"/>
              </w:rPr>
              <w:t>Onroad</w:t>
            </w:r>
          </w:p>
        </w:tc>
      </w:tr>
      <w:tr w:rsidR="00240FBF" w14:paraId="0DA5E908" w14:textId="77777777" w:rsidTr="00E96B7F">
        <w:tc>
          <w:tcPr>
            <w:tcW w:w="2282" w:type="dxa"/>
            <w:vMerge/>
            <w:vAlign w:val="center"/>
          </w:tcPr>
          <w:p w14:paraId="4E1A9C03" w14:textId="77777777" w:rsidR="00240FBF" w:rsidRPr="001C5B7C" w:rsidRDefault="00240FBF" w:rsidP="00E96B7F">
            <w:pPr>
              <w:keepNext/>
            </w:pPr>
          </w:p>
        </w:tc>
        <w:tc>
          <w:tcPr>
            <w:tcW w:w="3137" w:type="dxa"/>
          </w:tcPr>
          <w:p w14:paraId="6DE00CB5" w14:textId="77777777" w:rsidR="00240FBF" w:rsidRPr="001C5B7C" w:rsidRDefault="00240FBF" w:rsidP="00E96B7F">
            <w:pPr>
              <w:keepNext/>
            </w:pPr>
            <w:r>
              <w:t>Domain/Scale</w:t>
            </w:r>
          </w:p>
        </w:tc>
        <w:tc>
          <w:tcPr>
            <w:tcW w:w="3941" w:type="dxa"/>
          </w:tcPr>
          <w:p w14:paraId="475471FE" w14:textId="77777777" w:rsidR="00240FBF" w:rsidRPr="00A037F6" w:rsidRDefault="00240FBF" w:rsidP="00E96B7F">
            <w:pPr>
              <w:keepNext/>
              <w:rPr>
                <w:highlight w:val="cyan"/>
              </w:rPr>
            </w:pPr>
            <w:r w:rsidRPr="00A037F6">
              <w:rPr>
                <w:highlight w:val="cyan"/>
              </w:rPr>
              <w:t>County</w:t>
            </w:r>
          </w:p>
        </w:tc>
      </w:tr>
      <w:tr w:rsidR="00240FBF" w14:paraId="57418F00" w14:textId="77777777" w:rsidTr="00E96B7F">
        <w:tc>
          <w:tcPr>
            <w:tcW w:w="2282" w:type="dxa"/>
            <w:vMerge/>
            <w:vAlign w:val="center"/>
          </w:tcPr>
          <w:p w14:paraId="30E97D86" w14:textId="77777777" w:rsidR="00240FBF" w:rsidRPr="001C5B7C" w:rsidRDefault="00240FBF" w:rsidP="00E96B7F">
            <w:pPr>
              <w:keepNext/>
            </w:pPr>
          </w:p>
        </w:tc>
        <w:tc>
          <w:tcPr>
            <w:tcW w:w="3137" w:type="dxa"/>
          </w:tcPr>
          <w:p w14:paraId="08813834" w14:textId="77777777" w:rsidR="00240FBF" w:rsidRPr="001C5B7C" w:rsidRDefault="00240FBF" w:rsidP="00E96B7F">
            <w:pPr>
              <w:keepNext/>
            </w:pPr>
            <w:r w:rsidRPr="001C5B7C">
              <w:t>Calculation Type</w:t>
            </w:r>
          </w:p>
        </w:tc>
        <w:tc>
          <w:tcPr>
            <w:tcW w:w="3941" w:type="dxa"/>
          </w:tcPr>
          <w:p w14:paraId="6055D10B" w14:textId="77777777" w:rsidR="00240FBF" w:rsidRPr="00A037F6" w:rsidRDefault="00240FBF" w:rsidP="00E96B7F">
            <w:pPr>
              <w:keepNext/>
              <w:rPr>
                <w:highlight w:val="cyan"/>
              </w:rPr>
            </w:pPr>
            <w:r w:rsidRPr="00A037F6">
              <w:rPr>
                <w:highlight w:val="cyan"/>
              </w:rPr>
              <w:t>Inventory</w:t>
            </w:r>
          </w:p>
        </w:tc>
      </w:tr>
      <w:tr w:rsidR="00240FBF" w14:paraId="13C7E3AC" w14:textId="77777777" w:rsidTr="00E96B7F">
        <w:tc>
          <w:tcPr>
            <w:tcW w:w="2282" w:type="dxa"/>
            <w:vMerge w:val="restart"/>
            <w:vAlign w:val="center"/>
          </w:tcPr>
          <w:p w14:paraId="0917E472" w14:textId="77777777" w:rsidR="00240FBF" w:rsidRPr="001C5B7C" w:rsidRDefault="00240FBF" w:rsidP="00E96B7F">
            <w:pPr>
              <w:keepNext/>
            </w:pPr>
            <w:r w:rsidRPr="001C5B7C">
              <w:t>Time Spans</w:t>
            </w:r>
          </w:p>
        </w:tc>
        <w:tc>
          <w:tcPr>
            <w:tcW w:w="3137" w:type="dxa"/>
          </w:tcPr>
          <w:p w14:paraId="74A39D09" w14:textId="77777777" w:rsidR="00240FBF" w:rsidRPr="001C5B7C" w:rsidRDefault="00240FBF" w:rsidP="00E96B7F">
            <w:pPr>
              <w:keepNext/>
            </w:pPr>
            <w:r w:rsidRPr="00B23683">
              <w:t>Time Aggregation Level</w:t>
            </w:r>
          </w:p>
        </w:tc>
        <w:tc>
          <w:tcPr>
            <w:tcW w:w="3941" w:type="dxa"/>
          </w:tcPr>
          <w:p w14:paraId="43CC683E" w14:textId="77777777" w:rsidR="00240FBF" w:rsidRPr="00A037F6" w:rsidRDefault="00240FBF" w:rsidP="00E96B7F">
            <w:pPr>
              <w:keepNext/>
              <w:rPr>
                <w:highlight w:val="cyan"/>
              </w:rPr>
            </w:pPr>
            <w:r w:rsidRPr="00A037F6">
              <w:rPr>
                <w:highlight w:val="cyan"/>
              </w:rPr>
              <w:t>Hour</w:t>
            </w:r>
          </w:p>
        </w:tc>
      </w:tr>
      <w:tr w:rsidR="00240FBF" w14:paraId="27E6FAB1" w14:textId="77777777" w:rsidTr="00E96B7F">
        <w:tc>
          <w:tcPr>
            <w:tcW w:w="2282" w:type="dxa"/>
            <w:vMerge/>
            <w:vAlign w:val="center"/>
          </w:tcPr>
          <w:p w14:paraId="76760C75" w14:textId="77777777" w:rsidR="00240FBF" w:rsidRPr="001C5B7C" w:rsidRDefault="00240FBF" w:rsidP="00E96B7F">
            <w:pPr>
              <w:keepNext/>
            </w:pPr>
          </w:p>
        </w:tc>
        <w:tc>
          <w:tcPr>
            <w:tcW w:w="3137" w:type="dxa"/>
          </w:tcPr>
          <w:p w14:paraId="29C8CF94" w14:textId="77777777" w:rsidR="00240FBF" w:rsidRPr="00B23683" w:rsidRDefault="00240FBF" w:rsidP="00E96B7F">
            <w:pPr>
              <w:keepNext/>
            </w:pPr>
            <w:r w:rsidRPr="00B23683">
              <w:t>Year</w:t>
            </w:r>
          </w:p>
        </w:tc>
        <w:tc>
          <w:tcPr>
            <w:tcW w:w="3941" w:type="dxa"/>
          </w:tcPr>
          <w:p w14:paraId="17D029F9" w14:textId="77777777" w:rsidR="00240FBF" w:rsidRPr="00A037F6" w:rsidRDefault="00240FBF" w:rsidP="00E96B7F">
            <w:pPr>
              <w:keepNext/>
              <w:rPr>
                <w:highlight w:val="cyan"/>
              </w:rPr>
            </w:pPr>
            <w:r w:rsidRPr="00A037F6">
              <w:rPr>
                <w:highlight w:val="cyan"/>
              </w:rPr>
              <w:t>2010 &amp; 2040</w:t>
            </w:r>
          </w:p>
        </w:tc>
      </w:tr>
      <w:tr w:rsidR="00240FBF" w14:paraId="3BD80545" w14:textId="77777777" w:rsidTr="00E96B7F">
        <w:tc>
          <w:tcPr>
            <w:tcW w:w="2282" w:type="dxa"/>
            <w:vMerge/>
            <w:vAlign w:val="center"/>
          </w:tcPr>
          <w:p w14:paraId="632C2BD8" w14:textId="77777777" w:rsidR="00240FBF" w:rsidRPr="001C5B7C" w:rsidRDefault="00240FBF" w:rsidP="00E96B7F">
            <w:pPr>
              <w:keepNext/>
            </w:pPr>
          </w:p>
        </w:tc>
        <w:tc>
          <w:tcPr>
            <w:tcW w:w="3137" w:type="dxa"/>
          </w:tcPr>
          <w:p w14:paraId="309AEB9D" w14:textId="77777777" w:rsidR="00240FBF" w:rsidRPr="00B23683" w:rsidRDefault="00240FBF" w:rsidP="00E96B7F">
            <w:pPr>
              <w:keepNext/>
            </w:pPr>
            <w:r>
              <w:t>Months</w:t>
            </w:r>
          </w:p>
        </w:tc>
        <w:tc>
          <w:tcPr>
            <w:tcW w:w="3941" w:type="dxa"/>
          </w:tcPr>
          <w:p w14:paraId="424DC053" w14:textId="77777777" w:rsidR="00240FBF" w:rsidRPr="00A037F6" w:rsidRDefault="00240FBF" w:rsidP="00E96B7F">
            <w:pPr>
              <w:keepNext/>
              <w:rPr>
                <w:highlight w:val="cyan"/>
              </w:rPr>
            </w:pPr>
            <w:r w:rsidRPr="00A037F6">
              <w:rPr>
                <w:highlight w:val="cyan"/>
              </w:rPr>
              <w:t>All</w:t>
            </w:r>
          </w:p>
        </w:tc>
      </w:tr>
      <w:tr w:rsidR="00240FBF" w14:paraId="54E4A8D1" w14:textId="77777777" w:rsidTr="00E96B7F">
        <w:tc>
          <w:tcPr>
            <w:tcW w:w="2282" w:type="dxa"/>
            <w:vMerge/>
            <w:vAlign w:val="center"/>
          </w:tcPr>
          <w:p w14:paraId="694F0F17" w14:textId="77777777" w:rsidR="00240FBF" w:rsidRPr="001C5B7C" w:rsidRDefault="00240FBF" w:rsidP="00E96B7F">
            <w:pPr>
              <w:keepNext/>
            </w:pPr>
          </w:p>
        </w:tc>
        <w:tc>
          <w:tcPr>
            <w:tcW w:w="3137" w:type="dxa"/>
          </w:tcPr>
          <w:p w14:paraId="1902DC32" w14:textId="77777777" w:rsidR="00240FBF" w:rsidRPr="001C5B7C" w:rsidRDefault="00240FBF" w:rsidP="00E96B7F">
            <w:pPr>
              <w:keepNext/>
            </w:pPr>
            <w:r w:rsidRPr="00B23683">
              <w:t>Days</w:t>
            </w:r>
          </w:p>
        </w:tc>
        <w:tc>
          <w:tcPr>
            <w:tcW w:w="3941" w:type="dxa"/>
          </w:tcPr>
          <w:p w14:paraId="1DC620CA" w14:textId="77777777" w:rsidR="00240FBF" w:rsidRPr="00A037F6" w:rsidRDefault="00240FBF" w:rsidP="00E96B7F">
            <w:pPr>
              <w:keepNext/>
              <w:rPr>
                <w:highlight w:val="cyan"/>
              </w:rPr>
            </w:pPr>
            <w:r w:rsidRPr="00A037F6">
              <w:rPr>
                <w:highlight w:val="cyan"/>
              </w:rPr>
              <w:t>All</w:t>
            </w:r>
          </w:p>
        </w:tc>
      </w:tr>
      <w:tr w:rsidR="00240FBF" w14:paraId="15C8CFE8" w14:textId="77777777" w:rsidTr="00E96B7F">
        <w:tc>
          <w:tcPr>
            <w:tcW w:w="2282" w:type="dxa"/>
            <w:vMerge/>
            <w:vAlign w:val="center"/>
          </w:tcPr>
          <w:p w14:paraId="632D460C" w14:textId="77777777" w:rsidR="00240FBF" w:rsidRPr="001C5B7C" w:rsidRDefault="00240FBF" w:rsidP="00E96B7F">
            <w:pPr>
              <w:keepNext/>
            </w:pPr>
          </w:p>
        </w:tc>
        <w:tc>
          <w:tcPr>
            <w:tcW w:w="3137" w:type="dxa"/>
          </w:tcPr>
          <w:p w14:paraId="5AE51851" w14:textId="77777777" w:rsidR="00240FBF" w:rsidRPr="00B23683" w:rsidRDefault="00240FBF" w:rsidP="00E96B7F">
            <w:pPr>
              <w:keepNext/>
            </w:pPr>
            <w:r w:rsidRPr="00B23683">
              <w:t>Hours</w:t>
            </w:r>
          </w:p>
        </w:tc>
        <w:tc>
          <w:tcPr>
            <w:tcW w:w="3941" w:type="dxa"/>
          </w:tcPr>
          <w:p w14:paraId="21E2D317" w14:textId="77777777" w:rsidR="00240FBF" w:rsidRPr="00A037F6" w:rsidRDefault="00240FBF" w:rsidP="00E96B7F">
            <w:pPr>
              <w:keepNext/>
              <w:rPr>
                <w:highlight w:val="cyan"/>
              </w:rPr>
            </w:pPr>
            <w:r w:rsidRPr="00A037F6">
              <w:rPr>
                <w:highlight w:val="cyan"/>
              </w:rPr>
              <w:t>All</w:t>
            </w:r>
          </w:p>
        </w:tc>
      </w:tr>
      <w:tr w:rsidR="00240FBF" w14:paraId="408FB9B9" w14:textId="77777777" w:rsidTr="00E96B7F">
        <w:tc>
          <w:tcPr>
            <w:tcW w:w="2282" w:type="dxa"/>
            <w:vMerge w:val="restart"/>
            <w:vAlign w:val="center"/>
          </w:tcPr>
          <w:p w14:paraId="53DCB3BF" w14:textId="77777777" w:rsidR="00240FBF" w:rsidRPr="001C5B7C" w:rsidRDefault="00240FBF" w:rsidP="00E96B7F">
            <w:pPr>
              <w:keepNext/>
            </w:pPr>
            <w:r w:rsidRPr="001C5B7C">
              <w:t>Geographic Bounds</w:t>
            </w:r>
          </w:p>
        </w:tc>
        <w:tc>
          <w:tcPr>
            <w:tcW w:w="3137" w:type="dxa"/>
          </w:tcPr>
          <w:p w14:paraId="54E896A1" w14:textId="77777777" w:rsidR="00240FBF" w:rsidRDefault="00240FBF" w:rsidP="00E96B7F">
            <w:pPr>
              <w:keepNext/>
            </w:pPr>
            <w:r>
              <w:t>Region</w:t>
            </w:r>
          </w:p>
        </w:tc>
        <w:tc>
          <w:tcPr>
            <w:tcW w:w="3941" w:type="dxa"/>
          </w:tcPr>
          <w:p w14:paraId="79E77C12" w14:textId="77777777" w:rsidR="00240FBF" w:rsidRPr="00A037F6" w:rsidRDefault="00240FBF" w:rsidP="00E96B7F">
            <w:pPr>
              <w:keepNext/>
              <w:rPr>
                <w:highlight w:val="cyan"/>
              </w:rPr>
            </w:pPr>
            <w:r w:rsidRPr="00A037F6">
              <w:rPr>
                <w:highlight w:val="cyan"/>
              </w:rPr>
              <w:t>County</w:t>
            </w:r>
          </w:p>
        </w:tc>
      </w:tr>
      <w:tr w:rsidR="00240FBF" w14:paraId="76151C17" w14:textId="77777777" w:rsidTr="00E96B7F">
        <w:tc>
          <w:tcPr>
            <w:tcW w:w="2282" w:type="dxa"/>
            <w:vMerge/>
            <w:vAlign w:val="center"/>
          </w:tcPr>
          <w:p w14:paraId="64D4B95C" w14:textId="77777777" w:rsidR="00240FBF" w:rsidRPr="001C5B7C" w:rsidRDefault="00240FBF" w:rsidP="00E96B7F">
            <w:pPr>
              <w:keepNext/>
            </w:pPr>
          </w:p>
        </w:tc>
        <w:tc>
          <w:tcPr>
            <w:tcW w:w="3137" w:type="dxa"/>
          </w:tcPr>
          <w:p w14:paraId="4FD7DF61" w14:textId="77777777" w:rsidR="00240FBF" w:rsidRDefault="00240FBF" w:rsidP="00E96B7F">
            <w:pPr>
              <w:keepNext/>
            </w:pPr>
            <w:r>
              <w:t>State</w:t>
            </w:r>
          </w:p>
        </w:tc>
        <w:tc>
          <w:tcPr>
            <w:tcW w:w="3941" w:type="dxa"/>
          </w:tcPr>
          <w:p w14:paraId="27A167BA" w14:textId="77777777" w:rsidR="00240FBF" w:rsidRPr="00A037F6" w:rsidRDefault="00240FBF" w:rsidP="00E96B7F">
            <w:pPr>
              <w:keepNext/>
              <w:rPr>
                <w:highlight w:val="cyan"/>
              </w:rPr>
            </w:pPr>
            <w:r w:rsidRPr="00A037F6">
              <w:rPr>
                <w:highlight w:val="cyan"/>
              </w:rPr>
              <w:t>Washington</w:t>
            </w:r>
          </w:p>
        </w:tc>
      </w:tr>
      <w:tr w:rsidR="00240FBF" w14:paraId="31664F5B" w14:textId="77777777" w:rsidTr="00E96B7F">
        <w:tc>
          <w:tcPr>
            <w:tcW w:w="2282" w:type="dxa"/>
            <w:vMerge/>
            <w:vAlign w:val="center"/>
          </w:tcPr>
          <w:p w14:paraId="22E3902C" w14:textId="77777777" w:rsidR="00240FBF" w:rsidRPr="001C5B7C" w:rsidRDefault="00240FBF" w:rsidP="00E96B7F">
            <w:pPr>
              <w:keepNext/>
            </w:pPr>
          </w:p>
        </w:tc>
        <w:tc>
          <w:tcPr>
            <w:tcW w:w="3137" w:type="dxa"/>
          </w:tcPr>
          <w:p w14:paraId="0F1EBE88" w14:textId="77777777" w:rsidR="00240FBF" w:rsidRDefault="00240FBF" w:rsidP="00E96B7F">
            <w:pPr>
              <w:keepNext/>
            </w:pPr>
            <w:r>
              <w:t>County</w:t>
            </w:r>
          </w:p>
        </w:tc>
        <w:tc>
          <w:tcPr>
            <w:tcW w:w="3941" w:type="dxa"/>
          </w:tcPr>
          <w:p w14:paraId="29801304" w14:textId="77777777" w:rsidR="00240FBF" w:rsidRPr="00A037F6" w:rsidRDefault="00240FBF" w:rsidP="00E96B7F">
            <w:pPr>
              <w:keepNext/>
              <w:rPr>
                <w:highlight w:val="cyan"/>
              </w:rPr>
            </w:pPr>
            <w:r w:rsidRPr="00A037F6">
              <w:rPr>
                <w:highlight w:val="cyan"/>
              </w:rPr>
              <w:t>Spokane</w:t>
            </w:r>
          </w:p>
        </w:tc>
      </w:tr>
      <w:tr w:rsidR="00240FBF" w14:paraId="63147819" w14:textId="77777777" w:rsidTr="00E96B7F">
        <w:tc>
          <w:tcPr>
            <w:tcW w:w="2282" w:type="dxa"/>
            <w:vAlign w:val="center"/>
          </w:tcPr>
          <w:p w14:paraId="3CFF13CD" w14:textId="77777777" w:rsidR="00240FBF" w:rsidRPr="001C5B7C" w:rsidRDefault="00240FBF" w:rsidP="00E96B7F">
            <w:pPr>
              <w:keepNext/>
            </w:pPr>
            <w:r w:rsidRPr="001C5B7C">
              <w:t>On Road Vehicle Equipment</w:t>
            </w:r>
          </w:p>
        </w:tc>
        <w:tc>
          <w:tcPr>
            <w:tcW w:w="3137" w:type="dxa"/>
          </w:tcPr>
          <w:p w14:paraId="20A76CBA" w14:textId="77777777" w:rsidR="00240FBF" w:rsidRDefault="00240FBF" w:rsidP="00E96B7F">
            <w:pPr>
              <w:keepNext/>
            </w:pPr>
          </w:p>
        </w:tc>
        <w:tc>
          <w:tcPr>
            <w:tcW w:w="3941" w:type="dxa"/>
          </w:tcPr>
          <w:p w14:paraId="5202D976" w14:textId="77777777" w:rsidR="00240FBF" w:rsidRPr="00A037F6" w:rsidRDefault="00240FBF" w:rsidP="00E96B7F">
            <w:pPr>
              <w:keepNext/>
              <w:rPr>
                <w:highlight w:val="cyan"/>
              </w:rPr>
            </w:pPr>
            <w:r w:rsidRPr="00A037F6">
              <w:rPr>
                <w:highlight w:val="cyan"/>
              </w:rPr>
              <w:t>All fuel and vehicle combinations</w:t>
            </w:r>
          </w:p>
          <w:p w14:paraId="525D5F0E" w14:textId="77777777" w:rsidR="00240FBF" w:rsidRPr="00A037F6" w:rsidRDefault="00240FBF" w:rsidP="00E96B7F">
            <w:pPr>
              <w:keepNext/>
              <w:rPr>
                <w:highlight w:val="cyan"/>
              </w:rPr>
            </w:pPr>
          </w:p>
        </w:tc>
      </w:tr>
      <w:tr w:rsidR="00240FBF" w14:paraId="2592C1B4" w14:textId="77777777" w:rsidTr="00E96B7F">
        <w:tc>
          <w:tcPr>
            <w:tcW w:w="2282" w:type="dxa"/>
            <w:vAlign w:val="center"/>
          </w:tcPr>
          <w:p w14:paraId="23503305" w14:textId="77777777" w:rsidR="00240FBF" w:rsidRPr="001C5B7C" w:rsidRDefault="00240FBF" w:rsidP="00E96B7F">
            <w:pPr>
              <w:keepNext/>
            </w:pPr>
            <w:r w:rsidRPr="001C5B7C">
              <w:t>Road Type</w:t>
            </w:r>
          </w:p>
        </w:tc>
        <w:tc>
          <w:tcPr>
            <w:tcW w:w="3137" w:type="dxa"/>
          </w:tcPr>
          <w:p w14:paraId="56C21BC9" w14:textId="77777777" w:rsidR="00240FBF" w:rsidRDefault="00240FBF" w:rsidP="00E96B7F">
            <w:pPr>
              <w:keepNext/>
            </w:pPr>
          </w:p>
        </w:tc>
        <w:tc>
          <w:tcPr>
            <w:tcW w:w="3941" w:type="dxa"/>
          </w:tcPr>
          <w:p w14:paraId="6FB0C71B" w14:textId="77777777" w:rsidR="00240FBF" w:rsidRPr="00A037F6" w:rsidRDefault="00240FBF" w:rsidP="00E96B7F">
            <w:pPr>
              <w:keepNext/>
              <w:rPr>
                <w:highlight w:val="cyan"/>
              </w:rPr>
            </w:pPr>
            <w:r w:rsidRPr="00A037F6">
              <w:rPr>
                <w:highlight w:val="cyan"/>
              </w:rPr>
              <w:t xml:space="preserve">Urban restricted </w:t>
            </w:r>
          </w:p>
          <w:p w14:paraId="6BD355E2" w14:textId="77777777" w:rsidR="00240FBF" w:rsidRPr="00A037F6" w:rsidRDefault="00240FBF" w:rsidP="00E96B7F">
            <w:pPr>
              <w:keepNext/>
              <w:rPr>
                <w:highlight w:val="cyan"/>
              </w:rPr>
            </w:pPr>
            <w:r w:rsidRPr="00A037F6">
              <w:rPr>
                <w:highlight w:val="cyan"/>
              </w:rPr>
              <w:t>Urban unrestricted access</w:t>
            </w:r>
          </w:p>
        </w:tc>
      </w:tr>
      <w:tr w:rsidR="00240FBF" w14:paraId="10421B64" w14:textId="77777777" w:rsidTr="00E96B7F">
        <w:tc>
          <w:tcPr>
            <w:tcW w:w="2282" w:type="dxa"/>
            <w:vMerge w:val="restart"/>
            <w:vAlign w:val="center"/>
          </w:tcPr>
          <w:p w14:paraId="0A1DE0F3" w14:textId="77777777" w:rsidR="00240FBF" w:rsidRPr="001C5B7C" w:rsidRDefault="00240FBF" w:rsidP="00E96B7F">
            <w:pPr>
              <w:keepNext/>
            </w:pPr>
            <w:r w:rsidRPr="001C5B7C">
              <w:t>Pollutants and Processes</w:t>
            </w:r>
          </w:p>
        </w:tc>
        <w:tc>
          <w:tcPr>
            <w:tcW w:w="3137" w:type="dxa"/>
          </w:tcPr>
          <w:p w14:paraId="374B737D" w14:textId="77777777" w:rsidR="00240FBF" w:rsidRDefault="00240FBF" w:rsidP="00E96B7F">
            <w:pPr>
              <w:keepNext/>
            </w:pPr>
            <w:r>
              <w:t>Processes</w:t>
            </w:r>
          </w:p>
        </w:tc>
        <w:tc>
          <w:tcPr>
            <w:tcW w:w="3941" w:type="dxa"/>
          </w:tcPr>
          <w:p w14:paraId="649A5880" w14:textId="77777777" w:rsidR="00240FBF" w:rsidRPr="00A037F6" w:rsidRDefault="00240FBF" w:rsidP="00E96B7F">
            <w:pPr>
              <w:keepNext/>
              <w:rPr>
                <w:highlight w:val="cyan"/>
              </w:rPr>
            </w:pPr>
            <w:r w:rsidRPr="00A037F6">
              <w:rPr>
                <w:highlight w:val="cyan"/>
              </w:rPr>
              <w:t>Running Exhaust, Evaporative Permeation, Evap Fuel Leaks, Crank Case Running Exhaust</w:t>
            </w:r>
          </w:p>
        </w:tc>
      </w:tr>
      <w:tr w:rsidR="00240FBF" w14:paraId="2B894AEF" w14:textId="77777777" w:rsidTr="00E96B7F">
        <w:tc>
          <w:tcPr>
            <w:tcW w:w="2282" w:type="dxa"/>
            <w:vMerge/>
            <w:vAlign w:val="center"/>
          </w:tcPr>
          <w:p w14:paraId="53218C97" w14:textId="77777777" w:rsidR="00240FBF" w:rsidRPr="001C5B7C" w:rsidRDefault="00240FBF" w:rsidP="00E96B7F">
            <w:pPr>
              <w:keepNext/>
            </w:pPr>
          </w:p>
        </w:tc>
        <w:tc>
          <w:tcPr>
            <w:tcW w:w="3137" w:type="dxa"/>
          </w:tcPr>
          <w:p w14:paraId="491B5EB6" w14:textId="77777777" w:rsidR="00240FBF" w:rsidRDefault="00240FBF" w:rsidP="00E96B7F">
            <w:pPr>
              <w:keepNext/>
            </w:pPr>
            <w:r w:rsidRPr="001C5B7C">
              <w:t>Pollutants</w:t>
            </w:r>
          </w:p>
        </w:tc>
        <w:tc>
          <w:tcPr>
            <w:tcW w:w="3941" w:type="dxa"/>
          </w:tcPr>
          <w:p w14:paraId="3A0D4E80" w14:textId="77777777" w:rsidR="00240FBF" w:rsidRPr="00A037F6" w:rsidRDefault="00240FBF" w:rsidP="00E96B7F">
            <w:pPr>
              <w:keepNext/>
              <w:rPr>
                <w:highlight w:val="cyan"/>
              </w:rPr>
            </w:pPr>
            <w:r w:rsidRPr="00A037F6">
              <w:rPr>
                <w:highlight w:val="cyan"/>
              </w:rPr>
              <w:t xml:space="preserve">See appendix X </w:t>
            </w:r>
          </w:p>
        </w:tc>
      </w:tr>
      <w:tr w:rsidR="00240FBF" w14:paraId="5A15703B" w14:textId="77777777" w:rsidTr="00E96B7F">
        <w:tc>
          <w:tcPr>
            <w:tcW w:w="2282" w:type="dxa"/>
          </w:tcPr>
          <w:p w14:paraId="4D0C82C6" w14:textId="77777777" w:rsidR="00240FBF" w:rsidRPr="001C5B7C" w:rsidRDefault="00240FBF" w:rsidP="00E96B7F">
            <w:pPr>
              <w:keepNext/>
            </w:pPr>
            <w:r w:rsidRPr="001C5B7C">
              <w:t>Strategies</w:t>
            </w:r>
          </w:p>
        </w:tc>
        <w:tc>
          <w:tcPr>
            <w:tcW w:w="3137" w:type="dxa"/>
          </w:tcPr>
          <w:p w14:paraId="7401B87F" w14:textId="77777777" w:rsidR="00240FBF" w:rsidRPr="001C5B7C" w:rsidRDefault="00240FBF" w:rsidP="00E96B7F">
            <w:pPr>
              <w:keepNext/>
            </w:pPr>
          </w:p>
        </w:tc>
        <w:tc>
          <w:tcPr>
            <w:tcW w:w="3941" w:type="dxa"/>
          </w:tcPr>
          <w:p w14:paraId="010FE6C9" w14:textId="77777777" w:rsidR="00240FBF" w:rsidRPr="00A037F6" w:rsidRDefault="00240FBF" w:rsidP="00E96B7F">
            <w:pPr>
              <w:keepNext/>
              <w:rPr>
                <w:highlight w:val="cyan"/>
              </w:rPr>
            </w:pPr>
            <w:r w:rsidRPr="00A037F6">
              <w:rPr>
                <w:highlight w:val="cyan"/>
              </w:rPr>
              <w:t>No selections needed</w:t>
            </w:r>
          </w:p>
        </w:tc>
      </w:tr>
      <w:tr w:rsidR="00240FBF" w14:paraId="55012424" w14:textId="77777777" w:rsidTr="00E96B7F">
        <w:tc>
          <w:tcPr>
            <w:tcW w:w="2282" w:type="dxa"/>
            <w:vMerge w:val="restart"/>
            <w:vAlign w:val="center"/>
          </w:tcPr>
          <w:p w14:paraId="037F5EA8" w14:textId="77777777" w:rsidR="00240FBF" w:rsidRPr="001C5B7C" w:rsidRDefault="00240FBF" w:rsidP="00E96B7F">
            <w:pPr>
              <w:keepNext/>
            </w:pPr>
            <w:r w:rsidRPr="001C5B7C">
              <w:t>General Output</w:t>
            </w:r>
          </w:p>
        </w:tc>
        <w:tc>
          <w:tcPr>
            <w:tcW w:w="3137" w:type="dxa"/>
          </w:tcPr>
          <w:p w14:paraId="485EFC17" w14:textId="77777777" w:rsidR="00240FBF" w:rsidRPr="001C5B7C" w:rsidRDefault="00240FBF" w:rsidP="00E96B7F">
            <w:pPr>
              <w:keepNext/>
            </w:pPr>
            <w:r>
              <w:t>Mass units</w:t>
            </w:r>
          </w:p>
        </w:tc>
        <w:tc>
          <w:tcPr>
            <w:tcW w:w="3941" w:type="dxa"/>
          </w:tcPr>
          <w:p w14:paraId="7EF9ECDF" w14:textId="77777777" w:rsidR="00240FBF" w:rsidRPr="00A037F6" w:rsidRDefault="00240FBF" w:rsidP="00E96B7F">
            <w:pPr>
              <w:keepNext/>
              <w:rPr>
                <w:highlight w:val="cyan"/>
              </w:rPr>
            </w:pPr>
            <w:r w:rsidRPr="00A037F6">
              <w:rPr>
                <w:highlight w:val="cyan"/>
              </w:rPr>
              <w:t>Grams</w:t>
            </w:r>
          </w:p>
        </w:tc>
      </w:tr>
      <w:tr w:rsidR="00240FBF" w14:paraId="1E4295E1" w14:textId="77777777" w:rsidTr="00E96B7F">
        <w:tc>
          <w:tcPr>
            <w:tcW w:w="2282" w:type="dxa"/>
            <w:vMerge/>
            <w:vAlign w:val="center"/>
          </w:tcPr>
          <w:p w14:paraId="27D4601B" w14:textId="77777777" w:rsidR="00240FBF" w:rsidRPr="001C5B7C" w:rsidRDefault="00240FBF" w:rsidP="00E96B7F">
            <w:pPr>
              <w:keepNext/>
            </w:pPr>
          </w:p>
        </w:tc>
        <w:tc>
          <w:tcPr>
            <w:tcW w:w="3137" w:type="dxa"/>
          </w:tcPr>
          <w:p w14:paraId="1977BC49" w14:textId="77777777" w:rsidR="00240FBF" w:rsidRPr="001C5B7C" w:rsidRDefault="00240FBF" w:rsidP="00E96B7F">
            <w:pPr>
              <w:keepNext/>
            </w:pPr>
            <w:r w:rsidRPr="001C5B7C">
              <w:t>Energy</w:t>
            </w:r>
          </w:p>
        </w:tc>
        <w:tc>
          <w:tcPr>
            <w:tcW w:w="3941" w:type="dxa"/>
          </w:tcPr>
          <w:p w14:paraId="217EF325" w14:textId="77777777" w:rsidR="00240FBF" w:rsidRPr="00A037F6" w:rsidRDefault="00240FBF" w:rsidP="00E96B7F">
            <w:pPr>
              <w:keepNext/>
              <w:rPr>
                <w:highlight w:val="cyan"/>
              </w:rPr>
            </w:pPr>
            <w:r w:rsidRPr="00A037F6">
              <w:rPr>
                <w:highlight w:val="cyan"/>
              </w:rPr>
              <w:t>Joules</w:t>
            </w:r>
          </w:p>
        </w:tc>
      </w:tr>
      <w:tr w:rsidR="00240FBF" w14:paraId="573E21F7" w14:textId="77777777" w:rsidTr="00E96B7F">
        <w:tc>
          <w:tcPr>
            <w:tcW w:w="2282" w:type="dxa"/>
            <w:vMerge/>
            <w:vAlign w:val="center"/>
          </w:tcPr>
          <w:p w14:paraId="7B7C9E7E" w14:textId="77777777" w:rsidR="00240FBF" w:rsidRPr="001C5B7C" w:rsidRDefault="00240FBF" w:rsidP="00E96B7F">
            <w:pPr>
              <w:keepNext/>
            </w:pPr>
          </w:p>
        </w:tc>
        <w:tc>
          <w:tcPr>
            <w:tcW w:w="3137" w:type="dxa"/>
          </w:tcPr>
          <w:p w14:paraId="76D94C18" w14:textId="77777777" w:rsidR="00240FBF" w:rsidRPr="001C5B7C" w:rsidRDefault="00240FBF" w:rsidP="00E96B7F">
            <w:pPr>
              <w:keepNext/>
            </w:pPr>
            <w:r w:rsidRPr="001C5B7C">
              <w:t>Distance</w:t>
            </w:r>
          </w:p>
        </w:tc>
        <w:tc>
          <w:tcPr>
            <w:tcW w:w="3941" w:type="dxa"/>
          </w:tcPr>
          <w:p w14:paraId="09492C88" w14:textId="77777777" w:rsidR="00240FBF" w:rsidRPr="00A037F6" w:rsidRDefault="00240FBF" w:rsidP="00E96B7F">
            <w:pPr>
              <w:keepNext/>
              <w:rPr>
                <w:highlight w:val="cyan"/>
              </w:rPr>
            </w:pPr>
            <w:r w:rsidRPr="00A037F6">
              <w:rPr>
                <w:highlight w:val="cyan"/>
              </w:rPr>
              <w:t>Miles</w:t>
            </w:r>
          </w:p>
        </w:tc>
      </w:tr>
      <w:tr w:rsidR="00240FBF" w14:paraId="774AD555" w14:textId="77777777" w:rsidTr="00E96B7F">
        <w:tc>
          <w:tcPr>
            <w:tcW w:w="2282" w:type="dxa"/>
            <w:vMerge/>
            <w:vAlign w:val="center"/>
          </w:tcPr>
          <w:p w14:paraId="05A9E24A" w14:textId="77777777" w:rsidR="00240FBF" w:rsidRPr="001C5B7C" w:rsidRDefault="00240FBF" w:rsidP="00E96B7F">
            <w:pPr>
              <w:keepNext/>
            </w:pPr>
          </w:p>
        </w:tc>
        <w:tc>
          <w:tcPr>
            <w:tcW w:w="3137" w:type="dxa"/>
          </w:tcPr>
          <w:p w14:paraId="615AF763" w14:textId="77777777" w:rsidR="00240FBF" w:rsidRPr="001C5B7C" w:rsidRDefault="00240FBF" w:rsidP="00E96B7F">
            <w:pPr>
              <w:keepNext/>
            </w:pPr>
            <w:r w:rsidRPr="001C5B7C">
              <w:t>Activity</w:t>
            </w:r>
          </w:p>
        </w:tc>
        <w:tc>
          <w:tcPr>
            <w:tcW w:w="3941" w:type="dxa"/>
          </w:tcPr>
          <w:p w14:paraId="79D18E3E" w14:textId="77777777" w:rsidR="00240FBF" w:rsidRPr="00A037F6" w:rsidRDefault="00240FBF" w:rsidP="00E96B7F">
            <w:pPr>
              <w:keepNext/>
              <w:rPr>
                <w:highlight w:val="cyan"/>
              </w:rPr>
            </w:pPr>
            <w:r w:rsidRPr="00A037F6">
              <w:rPr>
                <w:highlight w:val="cyan"/>
              </w:rPr>
              <w:t>Distance traveled &amp; Population</w:t>
            </w:r>
          </w:p>
        </w:tc>
      </w:tr>
      <w:tr w:rsidR="00240FBF" w14:paraId="0B33768F" w14:textId="77777777" w:rsidTr="00E96B7F">
        <w:tc>
          <w:tcPr>
            <w:tcW w:w="2282" w:type="dxa"/>
            <w:vMerge w:val="restart"/>
            <w:vAlign w:val="center"/>
          </w:tcPr>
          <w:p w14:paraId="0CE724FA" w14:textId="77777777" w:rsidR="00240FBF" w:rsidRPr="001C5B7C" w:rsidRDefault="00240FBF" w:rsidP="00E96B7F">
            <w:pPr>
              <w:keepNext/>
            </w:pPr>
            <w:r w:rsidRPr="001C5B7C">
              <w:t>Output Emissions Detail</w:t>
            </w:r>
          </w:p>
        </w:tc>
        <w:tc>
          <w:tcPr>
            <w:tcW w:w="3137" w:type="dxa"/>
          </w:tcPr>
          <w:p w14:paraId="1A82517B" w14:textId="77777777" w:rsidR="00240FBF" w:rsidRPr="009E4127" w:rsidRDefault="00240FBF" w:rsidP="00E96B7F">
            <w:pPr>
              <w:keepNext/>
            </w:pPr>
            <w:r>
              <w:t>For all Vehicle/equipment Categories</w:t>
            </w:r>
          </w:p>
        </w:tc>
        <w:tc>
          <w:tcPr>
            <w:tcW w:w="3941" w:type="dxa"/>
          </w:tcPr>
          <w:p w14:paraId="147C9A2D" w14:textId="77777777" w:rsidR="00240FBF" w:rsidRPr="00A037F6" w:rsidRDefault="00240FBF" w:rsidP="00E96B7F">
            <w:pPr>
              <w:keepNext/>
              <w:rPr>
                <w:highlight w:val="cyan"/>
              </w:rPr>
            </w:pPr>
            <w:r w:rsidRPr="00A037F6">
              <w:rPr>
                <w:highlight w:val="cyan"/>
              </w:rPr>
              <w:t>Fuel Type</w:t>
            </w:r>
          </w:p>
        </w:tc>
      </w:tr>
      <w:tr w:rsidR="00240FBF" w14:paraId="17650536" w14:textId="77777777" w:rsidTr="00E96B7F">
        <w:tc>
          <w:tcPr>
            <w:tcW w:w="2282" w:type="dxa"/>
            <w:vMerge/>
            <w:vAlign w:val="center"/>
          </w:tcPr>
          <w:p w14:paraId="505806FE" w14:textId="77777777" w:rsidR="00240FBF" w:rsidRPr="001C5B7C" w:rsidRDefault="00240FBF" w:rsidP="00E96B7F">
            <w:pPr>
              <w:keepNext/>
            </w:pPr>
          </w:p>
        </w:tc>
        <w:tc>
          <w:tcPr>
            <w:tcW w:w="3137" w:type="dxa"/>
          </w:tcPr>
          <w:p w14:paraId="5C111D35" w14:textId="77777777" w:rsidR="00240FBF" w:rsidRDefault="00240FBF" w:rsidP="00E96B7F">
            <w:pPr>
              <w:keepNext/>
            </w:pPr>
            <w:r>
              <w:t>On and off Road</w:t>
            </w:r>
          </w:p>
        </w:tc>
        <w:tc>
          <w:tcPr>
            <w:tcW w:w="3941" w:type="dxa"/>
          </w:tcPr>
          <w:p w14:paraId="179A596A" w14:textId="77777777" w:rsidR="00240FBF" w:rsidRPr="00A037F6" w:rsidRDefault="00240FBF" w:rsidP="00E96B7F">
            <w:pPr>
              <w:keepNext/>
              <w:rPr>
                <w:highlight w:val="cyan"/>
              </w:rPr>
            </w:pPr>
            <w:r w:rsidRPr="00A037F6">
              <w:rPr>
                <w:highlight w:val="cyan"/>
              </w:rPr>
              <w:t>Road Type &amp; Source Use Type</w:t>
            </w:r>
          </w:p>
        </w:tc>
      </w:tr>
      <w:tr w:rsidR="00240FBF" w14:paraId="61A9FD94" w14:textId="77777777" w:rsidTr="00E96B7F">
        <w:tc>
          <w:tcPr>
            <w:tcW w:w="2282" w:type="dxa"/>
            <w:vAlign w:val="center"/>
          </w:tcPr>
          <w:p w14:paraId="1985A9F5" w14:textId="77777777" w:rsidR="00240FBF" w:rsidRPr="001C5B7C" w:rsidRDefault="00240FBF" w:rsidP="00E96B7F">
            <w:r w:rsidRPr="001C5B7C">
              <w:t>Advanced Performance Measures</w:t>
            </w:r>
          </w:p>
        </w:tc>
        <w:tc>
          <w:tcPr>
            <w:tcW w:w="3137" w:type="dxa"/>
          </w:tcPr>
          <w:p w14:paraId="37D5DE77" w14:textId="77777777" w:rsidR="00240FBF" w:rsidRPr="001C5B7C" w:rsidRDefault="00240FBF" w:rsidP="00E96B7F"/>
        </w:tc>
        <w:tc>
          <w:tcPr>
            <w:tcW w:w="3941" w:type="dxa"/>
          </w:tcPr>
          <w:p w14:paraId="22C4597E" w14:textId="77777777" w:rsidR="00240FBF" w:rsidRPr="00A037F6" w:rsidRDefault="00240FBF" w:rsidP="00E96B7F">
            <w:pPr>
              <w:rPr>
                <w:highlight w:val="cyan"/>
              </w:rPr>
            </w:pPr>
            <w:r w:rsidRPr="00A037F6">
              <w:rPr>
                <w:highlight w:val="cyan"/>
              </w:rPr>
              <w:t>No selections needed</w:t>
            </w:r>
          </w:p>
        </w:tc>
      </w:tr>
    </w:tbl>
    <w:p w14:paraId="5172098E" w14:textId="77777777" w:rsidR="00240FBF" w:rsidRDefault="00240FBF" w:rsidP="00240FBF"/>
    <w:p w14:paraId="1EE570EB" w14:textId="77777777" w:rsidR="00240FBF" w:rsidRDefault="00240FBF" w:rsidP="00240FBF">
      <w:pPr>
        <w:pStyle w:val="ExhibitTitle"/>
      </w:pPr>
      <w:bookmarkStart w:id="42" w:name="_Toc28692153"/>
    </w:p>
    <w:p w14:paraId="4BC0327C" w14:textId="77777777" w:rsidR="00283E36" w:rsidRDefault="00283E36" w:rsidP="00240FBF">
      <w:pPr>
        <w:pStyle w:val="ExhibitTitle"/>
        <w:rPr>
          <w:highlight w:val="cyan"/>
        </w:rPr>
        <w:sectPr w:rsidR="00283E36" w:rsidSect="00D270BF">
          <w:pgSz w:w="12240" w:h="15840"/>
          <w:pgMar w:top="1440" w:right="1440" w:bottom="1440" w:left="1440" w:header="720" w:footer="720" w:gutter="0"/>
          <w:cols w:space="720"/>
          <w:docGrid w:linePitch="360"/>
        </w:sectPr>
      </w:pPr>
    </w:p>
    <w:p w14:paraId="4F655A26" w14:textId="779C8359" w:rsidR="00240FBF" w:rsidRDefault="00240FBF" w:rsidP="00240FBF">
      <w:pPr>
        <w:pStyle w:val="ExhibitTitle"/>
      </w:pPr>
      <w:r w:rsidRPr="00A037F6">
        <w:rPr>
          <w:highlight w:val="cyan"/>
        </w:rPr>
        <w:lastRenderedPageBreak/>
        <w:t>Exhibit XX – MOVES Pollutant Selections</w:t>
      </w:r>
      <w:r>
        <w:t xml:space="preserve"> </w:t>
      </w:r>
      <w:bookmarkEnd w:id="42"/>
      <w:r w:rsidR="00611550" w:rsidRPr="00611550">
        <w:rPr>
          <w:i/>
          <w:color w:val="FF0000"/>
          <w:highlight w:val="yellow"/>
        </w:rPr>
        <w:t>Show your pollutant selections</w:t>
      </w:r>
    </w:p>
    <w:p w14:paraId="7E40401D" w14:textId="77777777" w:rsidR="00240FBF" w:rsidRDefault="00240FBF" w:rsidP="00240FBF">
      <w:r>
        <w:rPr>
          <w:noProof/>
        </w:rPr>
        <w:drawing>
          <wp:inline distT="0" distB="0" distL="0" distR="0" wp14:anchorId="756F8E62" wp14:editId="53B64979">
            <wp:extent cx="8567352" cy="5249333"/>
            <wp:effectExtent l="0" t="0" r="571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661657" cy="5307115"/>
                    </a:xfrm>
                    <a:prstGeom prst="rect">
                      <a:avLst/>
                    </a:prstGeom>
                  </pic:spPr>
                </pic:pic>
              </a:graphicData>
            </a:graphic>
          </wp:inline>
        </w:drawing>
      </w:r>
    </w:p>
    <w:p w14:paraId="5FD61ED5" w14:textId="555559F2" w:rsidR="00240FBF" w:rsidRDefault="00240FBF" w:rsidP="00D47526"/>
    <w:sectPr w:rsidR="00240FBF" w:rsidSect="00283E36">
      <w:pgSz w:w="15840" w:h="12240" w:orient="landscape"/>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5DA225" w16cid:durableId="222DA40D"/>
  <w16cid:commentId w16cid:paraId="46D2FF07" w16cid:durableId="222DA47A"/>
  <w16cid:commentId w16cid:paraId="17F9C06D" w16cid:durableId="222DA676"/>
  <w16cid:commentId w16cid:paraId="167DB1E9" w16cid:durableId="222DA79A"/>
  <w16cid:commentId w16cid:paraId="68C7F9E4" w16cid:durableId="222DDD80"/>
  <w16cid:commentId w16cid:paraId="701720EA" w16cid:durableId="222DC84C"/>
  <w16cid:commentId w16cid:paraId="27827340" w16cid:durableId="222DD0C0"/>
  <w16cid:commentId w16cid:paraId="26F0F5BD" w16cid:durableId="222DDD4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AA640C" w14:textId="77777777" w:rsidR="00B73A46" w:rsidRDefault="00B73A46" w:rsidP="00C913F9">
      <w:r>
        <w:separator/>
      </w:r>
    </w:p>
  </w:endnote>
  <w:endnote w:type="continuationSeparator" w:id="0">
    <w:p w14:paraId="5B09B1D7" w14:textId="77777777" w:rsidR="00B73A46" w:rsidRDefault="00B73A46" w:rsidP="00C91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Arial Bold">
    <w:panose1 w:val="020B0704020202020204"/>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CB7B0" w14:textId="4D4659E7" w:rsidR="00B73A46" w:rsidRPr="00B57A9D" w:rsidRDefault="00B73A46" w:rsidP="00B73A46">
    <w:pPr>
      <w:tabs>
        <w:tab w:val="center" w:pos="5040"/>
        <w:tab w:val="right" w:pos="12960"/>
      </w:tabs>
    </w:pPr>
    <w:r w:rsidRPr="00650865">
      <w:rPr>
        <w:highlight w:val="cyan"/>
      </w:rPr>
      <w:t>Project</w:t>
    </w:r>
    <w:r>
      <w:tab/>
    </w:r>
    <w:r>
      <w:fldChar w:fldCharType="begin"/>
    </w:r>
    <w:r>
      <w:instrText xml:space="preserve"> PAGE   \* MERGEFORMAT </w:instrText>
    </w:r>
    <w:r>
      <w:fldChar w:fldCharType="separate"/>
    </w:r>
    <w:r w:rsidR="00283E36">
      <w:rPr>
        <w:noProof/>
      </w:rPr>
      <w:t>1</w:t>
    </w:r>
    <w:r>
      <w:rPr>
        <w:noProof/>
      </w:rPr>
      <w:fldChar w:fldCharType="end"/>
    </w:r>
    <w:r>
      <w:rPr>
        <w:noProof/>
      </w:rPr>
      <w:tab/>
    </w:r>
    <w:r w:rsidRPr="00650865">
      <w:rPr>
        <w:noProof/>
        <w:highlight w:val="cyan"/>
      </w:rPr>
      <w:t>date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2357A" w14:textId="5F42CF64" w:rsidR="00283E36" w:rsidRPr="00B57A9D" w:rsidRDefault="00283E36" w:rsidP="00B73A46">
    <w:pPr>
      <w:tabs>
        <w:tab w:val="center" w:pos="5040"/>
        <w:tab w:val="right" w:pos="12960"/>
      </w:tabs>
    </w:pPr>
    <w:r w:rsidRPr="00650865">
      <w:rPr>
        <w:highlight w:val="cyan"/>
      </w:rPr>
      <w:t>Project</w:t>
    </w:r>
    <w:r>
      <w:tab/>
    </w:r>
    <w:r>
      <w:rPr>
        <w:noProof/>
      </w:rPr>
      <w:tab/>
    </w:r>
    <w:r w:rsidRPr="00650865">
      <w:rPr>
        <w:noProof/>
        <w:highlight w:val="cyan"/>
      </w:rPr>
      <w:t>date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E8CAD" w14:textId="5AE6BCE2" w:rsidR="00283E36" w:rsidRPr="00B57A9D" w:rsidRDefault="00283E36" w:rsidP="00B73A46">
    <w:pPr>
      <w:tabs>
        <w:tab w:val="center" w:pos="5040"/>
        <w:tab w:val="right" w:pos="12960"/>
      </w:tabs>
    </w:pPr>
    <w:r w:rsidRPr="00650865">
      <w:rPr>
        <w:highlight w:val="cyan"/>
      </w:rPr>
      <w:t>Project</w:t>
    </w:r>
    <w:r>
      <w:tab/>
    </w:r>
    <w:r>
      <w:fldChar w:fldCharType="begin"/>
    </w:r>
    <w:r>
      <w:instrText xml:space="preserve"> PAGE   \* MERGEFORMAT </w:instrText>
    </w:r>
    <w:r>
      <w:fldChar w:fldCharType="separate"/>
    </w:r>
    <w:r w:rsidR="0064571D">
      <w:rPr>
        <w:noProof/>
      </w:rPr>
      <w:t>1</w:t>
    </w:r>
    <w:r>
      <w:rPr>
        <w:noProof/>
      </w:rPr>
      <w:fldChar w:fldCharType="end"/>
    </w:r>
    <w:r>
      <w:rPr>
        <w:noProof/>
      </w:rPr>
      <w:tab/>
    </w:r>
    <w:r w:rsidRPr="00650865">
      <w:rPr>
        <w:noProof/>
        <w:highlight w:val="cyan"/>
      </w:rPr>
      <w:t>date</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A72F2" w14:textId="7857EE75" w:rsidR="00B73A46" w:rsidRPr="00B57A9D" w:rsidRDefault="00B73A46" w:rsidP="00B73A46">
    <w:pPr>
      <w:tabs>
        <w:tab w:val="center" w:pos="6480"/>
        <w:tab w:val="right" w:pos="12960"/>
      </w:tabs>
    </w:pPr>
    <w:r w:rsidRPr="00650865">
      <w:rPr>
        <w:highlight w:val="cyan"/>
      </w:rPr>
      <w:t>Project</w:t>
    </w:r>
    <w:r>
      <w:tab/>
    </w:r>
    <w:r>
      <w:fldChar w:fldCharType="begin"/>
    </w:r>
    <w:r>
      <w:instrText xml:space="preserve"> PAGE   \* MERGEFORMAT </w:instrText>
    </w:r>
    <w:r>
      <w:fldChar w:fldCharType="separate"/>
    </w:r>
    <w:r w:rsidR="0064571D">
      <w:rPr>
        <w:noProof/>
      </w:rPr>
      <w:t>4</w:t>
    </w:r>
    <w:r>
      <w:rPr>
        <w:noProof/>
      </w:rPr>
      <w:fldChar w:fldCharType="end"/>
    </w:r>
    <w:r>
      <w:rPr>
        <w:noProof/>
      </w:rPr>
      <w:tab/>
    </w:r>
    <w:r w:rsidRPr="00650865">
      <w:rPr>
        <w:noProof/>
        <w:highlight w:val="cyan"/>
      </w:rPr>
      <w:t>date</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563CF" w14:textId="77777777" w:rsidR="00C20A08" w:rsidRDefault="00C20A08">
    <w:pPr>
      <w:pStyle w:val="Footer"/>
    </w:pPr>
    <w:r>
      <w:fldChar w:fldCharType="begin"/>
    </w:r>
    <w:r>
      <w:instrText xml:space="preserve"> PAGE  \* MERGEFORMAT </w:instrText>
    </w:r>
    <w:r>
      <w:fldChar w:fldCharType="separate"/>
    </w:r>
    <w:r>
      <w:rPr>
        <w:noProof/>
      </w:rPr>
      <w:t>18</w:t>
    </w:r>
    <w:r>
      <w:rPr>
        <w:noProof/>
      </w:rPr>
      <w:fldChar w:fldCharType="end"/>
    </w:r>
    <w:r>
      <w:ptab w:relativeTo="margin" w:alignment="right" w:leader="none"/>
    </w:r>
    <w:r>
      <w:t>SR 167 nepa re-evaluation</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A2603" w14:textId="3F383AF9" w:rsidR="00C20A08" w:rsidRDefault="00C20A08" w:rsidP="00E86B6F">
    <w:pPr>
      <w:pStyle w:val="Footer"/>
    </w:pPr>
    <w:r w:rsidRPr="00650865">
      <w:rPr>
        <w:highlight w:val="cyan"/>
      </w:rPr>
      <w:t>Project</w:t>
    </w:r>
    <w:r>
      <w:tab/>
    </w:r>
    <w:r>
      <w:fldChar w:fldCharType="begin"/>
    </w:r>
    <w:r>
      <w:instrText xml:space="preserve"> PAGE   \* MERGEFORMAT </w:instrText>
    </w:r>
    <w:r>
      <w:fldChar w:fldCharType="separate"/>
    </w:r>
    <w:r w:rsidR="0064571D">
      <w:rPr>
        <w:noProof/>
      </w:rPr>
      <w:t>19</w:t>
    </w:r>
    <w:r>
      <w:rPr>
        <w:noProof/>
      </w:rPr>
      <w:fldChar w:fldCharType="end"/>
    </w:r>
    <w:r>
      <w:rPr>
        <w:noProof/>
      </w:rPr>
      <w:tab/>
    </w:r>
    <w:r w:rsidRPr="00650865">
      <w:rPr>
        <w:noProof/>
        <w:highlight w:val="cyan"/>
      </w:rPr>
      <w:t>date</w:t>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8B407" w14:textId="77777777" w:rsidR="00C20A08" w:rsidRDefault="00C20A08" w:rsidP="00E86B6F">
    <w:pPr>
      <w:pStyle w:val="Footer"/>
    </w:pPr>
    <w:r>
      <w:t>SR 167 nepa re-evaluation</w:t>
    </w:r>
    <w:r>
      <w:ptab w:relativeTo="margin" w:alignment="right" w:leader="none"/>
    </w:r>
    <w:r>
      <w:t>date</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EE6D6" w14:textId="330EE692" w:rsidR="00C20A08" w:rsidRPr="00B57A9D" w:rsidRDefault="00C20A08" w:rsidP="00650865">
    <w:pPr>
      <w:tabs>
        <w:tab w:val="center" w:pos="6480"/>
        <w:tab w:val="right" w:pos="12960"/>
      </w:tabs>
    </w:pPr>
    <w:r w:rsidRPr="00650865">
      <w:rPr>
        <w:highlight w:val="cyan"/>
      </w:rPr>
      <w:t>Project</w:t>
    </w:r>
    <w:r>
      <w:tab/>
    </w:r>
    <w:r>
      <w:fldChar w:fldCharType="begin"/>
    </w:r>
    <w:r>
      <w:instrText xml:space="preserve"> PAGE   \* MERGEFORMAT </w:instrText>
    </w:r>
    <w:r>
      <w:fldChar w:fldCharType="separate"/>
    </w:r>
    <w:r w:rsidR="0064571D">
      <w:rPr>
        <w:noProof/>
      </w:rPr>
      <w:t>25</w:t>
    </w:r>
    <w:r>
      <w:rPr>
        <w:noProof/>
      </w:rPr>
      <w:fldChar w:fldCharType="end"/>
    </w:r>
    <w:r>
      <w:rPr>
        <w:noProof/>
      </w:rPr>
      <w:tab/>
    </w:r>
    <w:r w:rsidRPr="00650865">
      <w:rPr>
        <w:noProof/>
        <w:highlight w:val="cyan"/>
      </w:rPr>
      <w:t>date</w:t>
    </w:r>
  </w:p>
  <w:p w14:paraId="2A3A8DE3" w14:textId="77777777" w:rsidR="00C20A08" w:rsidRPr="00650865" w:rsidRDefault="00C20A08" w:rsidP="0065086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1874F" w14:textId="5F75405D" w:rsidR="00B73A46" w:rsidRPr="00B57A9D" w:rsidRDefault="00B73A46" w:rsidP="000363E7">
    <w:pPr>
      <w:tabs>
        <w:tab w:val="right" w:pos="12600"/>
      </w:tabs>
    </w:pPr>
    <w:r>
      <w:t>p</w:t>
    </w:r>
    <w:r w:rsidRPr="00B57A9D">
      <w:t xml:space="preserve">age </w:t>
    </w:r>
    <w:r w:rsidRPr="00B57A9D">
      <w:fldChar w:fldCharType="begin"/>
    </w:r>
    <w:r w:rsidRPr="00B57A9D">
      <w:instrText xml:space="preserve"> PAGE   \* MERGEFORMAT </w:instrText>
    </w:r>
    <w:r w:rsidRPr="00B57A9D">
      <w:fldChar w:fldCharType="separate"/>
    </w:r>
    <w:r w:rsidR="0064571D">
      <w:rPr>
        <w:noProof/>
      </w:rPr>
      <w:t>40</w:t>
    </w:r>
    <w:r w:rsidRPr="00B57A9D">
      <w:rPr>
        <w:noProof/>
      </w:rPr>
      <w:fldChar w:fldCharType="end"/>
    </w:r>
    <w:r>
      <w:rPr>
        <w:noProof/>
      </w:rPr>
      <w:tab/>
    </w:r>
    <w:r>
      <w:rPr>
        <w:noProof/>
      </w:rPr>
      <w:fldChar w:fldCharType="begin"/>
    </w:r>
    <w:r>
      <w:rPr>
        <w:noProof/>
      </w:rPr>
      <w:instrText xml:space="preserve"> DATE \@ "M/d/yyyy" </w:instrText>
    </w:r>
    <w:r>
      <w:rPr>
        <w:noProof/>
      </w:rPr>
      <w:fldChar w:fldCharType="separate"/>
    </w:r>
    <w:r w:rsidR="0064571D">
      <w:rPr>
        <w:noProof/>
      </w:rPr>
      <w:t>4/10/2020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80DBCF" w14:textId="77777777" w:rsidR="00B73A46" w:rsidRDefault="00B73A46" w:rsidP="00C913F9">
      <w:r>
        <w:separator/>
      </w:r>
    </w:p>
  </w:footnote>
  <w:footnote w:type="continuationSeparator" w:id="0">
    <w:p w14:paraId="4BF5FBAA" w14:textId="77777777" w:rsidR="00B73A46" w:rsidRDefault="00B73A46" w:rsidP="00C913F9">
      <w:r>
        <w:continuationSeparator/>
      </w:r>
    </w:p>
  </w:footnote>
  <w:footnote w:id="1">
    <w:p w14:paraId="618A6563" w14:textId="77777777" w:rsidR="00B73A46" w:rsidRDefault="00B73A46" w:rsidP="00B73A46">
      <w:pPr>
        <w:pStyle w:val="FootnoteText"/>
      </w:pPr>
      <w:r w:rsidRPr="00543CA3">
        <w:rPr>
          <w:rStyle w:val="FootnoteReference"/>
        </w:rPr>
        <w:footnoteRef/>
      </w:r>
      <w:r w:rsidRPr="00543CA3">
        <w:t xml:space="preserve"> </w:t>
      </w:r>
      <w:hyperlink r:id="rId1" w:history="1">
        <w:r w:rsidRPr="00543CA3">
          <w:rPr>
            <w:rStyle w:val="Hyperlink"/>
          </w:rPr>
          <w:t>https://nepis.epa.gov/Exe/ZyPDF.cgi?Dockey=P100NMXM.pdf</w:t>
        </w:r>
      </w:hyperlink>
    </w:p>
  </w:footnote>
  <w:footnote w:id="2">
    <w:p w14:paraId="15606EF8" w14:textId="77777777" w:rsidR="00B73A46" w:rsidRDefault="00B73A46" w:rsidP="00B73A46">
      <w:pPr>
        <w:pStyle w:val="FootnoteText"/>
      </w:pPr>
      <w:r>
        <w:rPr>
          <w:rStyle w:val="FootnoteReference"/>
        </w:rPr>
        <w:footnoteRef/>
      </w:r>
      <w:r>
        <w:t xml:space="preserve"> </w:t>
      </w:r>
      <w:hyperlink r:id="rId2" w:history="1">
        <w:r>
          <w:rPr>
            <w:rStyle w:val="Hyperlink"/>
          </w:rPr>
          <w:t>https://www.epa.gov/criteria-air-pollutants/naaqs-table</w:t>
        </w:r>
      </w:hyperlink>
    </w:p>
  </w:footnote>
  <w:footnote w:id="3">
    <w:p w14:paraId="2F8DD811" w14:textId="77777777" w:rsidR="00B73A46" w:rsidRDefault="00B73A46" w:rsidP="00B73A46">
      <w:pPr>
        <w:pStyle w:val="FootnoteText"/>
      </w:pPr>
      <w:r>
        <w:rPr>
          <w:rStyle w:val="FootnoteReference"/>
        </w:rPr>
        <w:footnoteRef/>
      </w:r>
      <w:r>
        <w:t xml:space="preserve"> </w:t>
      </w:r>
      <w:r w:rsidRPr="00885E8A">
        <w:rPr>
          <w:kern w:val="20"/>
        </w:rPr>
        <w:t>WAC 173-476</w:t>
      </w:r>
      <w:r>
        <w:rPr>
          <w:kern w:val="20"/>
        </w:rPr>
        <w:t xml:space="preserve">. </w:t>
      </w:r>
      <w:hyperlink r:id="rId3" w:history="1">
        <w:r w:rsidRPr="00B556B9">
          <w:rPr>
            <w:rStyle w:val="Hyperlink"/>
            <w:kern w:val="20"/>
          </w:rPr>
          <w:t>https://apps.leg.wa.gov/WAC/default.aspx?cite=173-476</w:t>
        </w:r>
      </w:hyperlink>
    </w:p>
  </w:footnote>
  <w:footnote w:id="4">
    <w:p w14:paraId="5FF582D0" w14:textId="77777777" w:rsidR="00B73A46" w:rsidRPr="004F4049" w:rsidRDefault="00B73A46" w:rsidP="00B73A46">
      <w:pPr>
        <w:pStyle w:val="FootnoteText"/>
      </w:pPr>
      <w:r w:rsidRPr="004F4049">
        <w:rPr>
          <w:rStyle w:val="FootnoteReference"/>
        </w:rPr>
        <w:footnoteRef/>
      </w:r>
      <w:r w:rsidRPr="004F4049">
        <w:t xml:space="preserve"> FHWA, 1987.</w:t>
      </w:r>
    </w:p>
  </w:footnote>
  <w:footnote w:id="5">
    <w:p w14:paraId="68A856A1" w14:textId="77777777" w:rsidR="00B73A46" w:rsidRPr="004F4049" w:rsidRDefault="00B73A46" w:rsidP="00B73A46">
      <w:pPr>
        <w:pStyle w:val="FootnoteText"/>
      </w:pPr>
      <w:r w:rsidRPr="004F4049">
        <w:rPr>
          <w:rStyle w:val="FootnoteReference"/>
        </w:rPr>
        <w:footnoteRef/>
      </w:r>
      <w:r w:rsidRPr="004F4049">
        <w:t xml:space="preserve"> FHWA , 2016</w:t>
      </w:r>
    </w:p>
  </w:footnote>
  <w:footnote w:id="6">
    <w:p w14:paraId="1D103C00" w14:textId="77777777" w:rsidR="00B73A46" w:rsidRDefault="00B73A46" w:rsidP="00B73A46">
      <w:pPr>
        <w:pStyle w:val="FootnoteText"/>
      </w:pPr>
      <w:r w:rsidRPr="004F4049">
        <w:rPr>
          <w:rStyle w:val="FootnoteReference"/>
        </w:rPr>
        <w:footnoteRef/>
      </w:r>
      <w:r w:rsidRPr="004F4049">
        <w:t xml:space="preserve"> FHWA, 1987.</w:t>
      </w:r>
    </w:p>
  </w:footnote>
  <w:footnote w:id="7">
    <w:p w14:paraId="12DA99DB" w14:textId="77777777" w:rsidR="00B73A46" w:rsidRDefault="00B73A46" w:rsidP="00B73A46">
      <w:pPr>
        <w:pStyle w:val="FootnoteText"/>
      </w:pPr>
      <w:r w:rsidRPr="004F4049">
        <w:rPr>
          <w:rStyle w:val="FootnoteReference"/>
        </w:rPr>
        <w:footnoteRef/>
      </w:r>
      <w:r w:rsidRPr="004F4049">
        <w:t xml:space="preserve"> WSDOT, Feb, 2018.</w:t>
      </w:r>
    </w:p>
  </w:footnote>
  <w:footnote w:id="8">
    <w:p w14:paraId="674D0F78" w14:textId="77777777" w:rsidR="00B73A46" w:rsidRDefault="00B73A46" w:rsidP="00B73A46">
      <w:pPr>
        <w:pStyle w:val="FootnoteText"/>
      </w:pPr>
      <w:r w:rsidRPr="00D93416">
        <w:rPr>
          <w:rStyle w:val="FootnoteReference"/>
        </w:rPr>
        <w:footnoteRef/>
      </w:r>
      <w:r w:rsidRPr="00D93416">
        <w:t xml:space="preserve"> FHWA, 2016. </w:t>
      </w:r>
    </w:p>
  </w:footnote>
  <w:footnote w:id="9">
    <w:p w14:paraId="24D0DE25" w14:textId="77777777" w:rsidR="00B73A46" w:rsidRDefault="00B73A46" w:rsidP="00B73A46">
      <w:pPr>
        <w:pStyle w:val="FootnoteText"/>
      </w:pPr>
      <w:r>
        <w:rPr>
          <w:rStyle w:val="FootnoteReference"/>
        </w:rPr>
        <w:footnoteRef/>
      </w:r>
      <w:r>
        <w:t xml:space="preserve"> As of 2017, CO is no longer monitored in the Spokane area because the region has been substantially below the NAAQS for many years.</w:t>
      </w:r>
    </w:p>
  </w:footnote>
  <w:footnote w:id="10">
    <w:p w14:paraId="7BE6F360" w14:textId="77777777" w:rsidR="00B73A46" w:rsidRDefault="00B73A46" w:rsidP="00B73A46">
      <w:pPr>
        <w:pStyle w:val="FootnoteText"/>
      </w:pPr>
      <w:r w:rsidRPr="00A73103">
        <w:rPr>
          <w:rStyle w:val="FootnoteReference"/>
          <w:highlight w:val="cyan"/>
        </w:rPr>
        <w:footnoteRef/>
      </w:r>
      <w:r w:rsidRPr="00A73103">
        <w:rPr>
          <w:highlight w:val="cyan"/>
        </w:rPr>
        <w:t xml:space="preserve"> EPA website: </w:t>
      </w:r>
      <w:hyperlink r:id="rId4" w:history="1">
        <w:r w:rsidRPr="00A73103">
          <w:rPr>
            <w:rStyle w:val="FootnoteTextChar"/>
            <w:highlight w:val="cyan"/>
          </w:rPr>
          <w:t>https://www.epa.gov/outdoor-air-quality-data/monitor-values-report</w:t>
        </w:r>
      </w:hyperlink>
      <w:r w:rsidRPr="00A73103">
        <w:rPr>
          <w:rStyle w:val="FootnoteTextChar"/>
          <w:highlight w:val="cyan"/>
        </w:rPr>
        <w:t xml:space="preserve"> - KL check source.</w:t>
      </w:r>
    </w:p>
  </w:footnote>
  <w:footnote w:id="11">
    <w:p w14:paraId="373B787D" w14:textId="77777777" w:rsidR="00B73A46" w:rsidRPr="000619D3" w:rsidRDefault="00B73A46" w:rsidP="00B73A46">
      <w:pPr>
        <w:pStyle w:val="FootnoteText"/>
      </w:pPr>
      <w:r>
        <w:rPr>
          <w:rStyle w:val="FootnoteReference"/>
        </w:rPr>
        <w:footnoteRef/>
      </w:r>
      <w:r>
        <w:t xml:space="preserve"> </w:t>
      </w:r>
      <w:hyperlink r:id="rId5" w:history="1">
        <w:r w:rsidRPr="000619D3">
          <w:rPr>
            <w:rStyle w:val="Hyperlink"/>
            <w:color w:val="3D1761"/>
            <w:shd w:val="clear" w:color="auto" w:fill="FFFFFF"/>
          </w:rPr>
          <w:t>https://www.epa.gov/iris</w:t>
        </w:r>
      </w:hyperlink>
    </w:p>
  </w:footnote>
  <w:footnote w:id="12">
    <w:p w14:paraId="7F8A35CA" w14:textId="77777777" w:rsidR="00B73A46" w:rsidRPr="000619D3" w:rsidRDefault="00B73A46" w:rsidP="00B73A46">
      <w:pPr>
        <w:pStyle w:val="FootnoteText"/>
      </w:pPr>
      <w:r w:rsidRPr="000619D3">
        <w:rPr>
          <w:rStyle w:val="FootnoteReference"/>
        </w:rPr>
        <w:footnoteRef/>
      </w:r>
      <w:r w:rsidRPr="000619D3">
        <w:t xml:space="preserve"> </w:t>
      </w:r>
      <w:hyperlink r:id="rId6" w:history="1">
        <w:r w:rsidRPr="000619D3">
          <w:rPr>
            <w:rStyle w:val="Hyperlink"/>
            <w:color w:val="3D1761"/>
            <w:shd w:val="clear" w:color="auto" w:fill="FFFFFF"/>
          </w:rPr>
          <w:t>https://www.epa.gov/national-air-toxics-assessment</w:t>
        </w:r>
      </w:hyperlink>
    </w:p>
  </w:footnote>
  <w:footnote w:id="13">
    <w:p w14:paraId="0061F971" w14:textId="77777777" w:rsidR="00B73A46" w:rsidRPr="000619D3" w:rsidRDefault="00B73A46" w:rsidP="00B73A46">
      <w:pPr>
        <w:pStyle w:val="FootnoteText"/>
        <w:rPr>
          <w:rStyle w:val="Hyperlink"/>
          <w:color w:val="3D1761"/>
          <w:shd w:val="clear" w:color="auto" w:fill="FFFFFF"/>
        </w:rPr>
      </w:pPr>
      <w:r>
        <w:rPr>
          <w:rStyle w:val="FootnoteReference"/>
        </w:rPr>
        <w:footnoteRef/>
      </w:r>
      <w:r>
        <w:t xml:space="preserve"> </w:t>
      </w:r>
      <w:hyperlink r:id="rId7" w:history="1">
        <w:r w:rsidRPr="000619D3">
          <w:rPr>
            <w:rStyle w:val="Hyperlink"/>
            <w:color w:val="3D1761"/>
            <w:shd w:val="clear" w:color="auto" w:fill="FFFFFF"/>
          </w:rPr>
          <w:t>https://nepis.epa.gov/Exe/ZyPDF.cgi?Dockey=P100NNR0.txt</w:t>
        </w:r>
      </w:hyperlink>
    </w:p>
  </w:footnote>
  <w:footnote w:id="14">
    <w:p w14:paraId="1208676D" w14:textId="77777777" w:rsidR="00B73A46" w:rsidRDefault="00B73A46" w:rsidP="00B73A46">
      <w:pPr>
        <w:pStyle w:val="FootnoteText"/>
      </w:pPr>
      <w:r>
        <w:rPr>
          <w:rStyle w:val="FootnoteReference"/>
        </w:rPr>
        <w:footnoteRef/>
      </w:r>
      <w:r>
        <w:t xml:space="preserve"> </w:t>
      </w:r>
      <w:r w:rsidRPr="00D57BD2">
        <w:t>Source: EPA MOVES2014a model runs conducted by FHWA, September 2016.</w:t>
      </w:r>
    </w:p>
  </w:footnote>
  <w:footnote w:id="15">
    <w:p w14:paraId="64CE38F5" w14:textId="77777777" w:rsidR="00B73A46" w:rsidRDefault="00B73A46" w:rsidP="00B73A46">
      <w:r w:rsidRPr="008972DC">
        <w:rPr>
          <w:rStyle w:val="FootnoteRevChar"/>
          <w:highlight w:val="cyan"/>
        </w:rPr>
        <w:footnoteRef/>
      </w:r>
      <w:r w:rsidRPr="008972DC">
        <w:rPr>
          <w:highlight w:val="cyan"/>
        </w:rPr>
        <w:t xml:space="preserve"> </w:t>
      </w:r>
      <w:r w:rsidRPr="008972DC">
        <w:rPr>
          <w:rStyle w:val="footnoteChar"/>
          <w:highlight w:val="cyan"/>
        </w:rPr>
        <w:t xml:space="preserve">EIA, </w:t>
      </w:r>
      <w:hyperlink r:id="rId8" w:history="1">
        <w:r w:rsidRPr="008972DC">
          <w:rPr>
            <w:rStyle w:val="footnoteChar"/>
            <w:highlight w:val="cyan"/>
          </w:rPr>
          <w:t>https://www.eia.gov/state/seds/data.php?incfile=/state/seds/sep_sum/html/rank_use.html&amp;sid=WA</w:t>
        </w:r>
      </w:hyperlink>
    </w:p>
  </w:footnote>
  <w:footnote w:id="16">
    <w:p w14:paraId="7D4E7F41" w14:textId="77777777" w:rsidR="00240FBF" w:rsidRDefault="00240FBF" w:rsidP="00240FBF">
      <w:pPr>
        <w:pStyle w:val="FootnoteText"/>
      </w:pPr>
      <w:r>
        <w:rPr>
          <w:rStyle w:val="FootnoteReference"/>
        </w:rPr>
        <w:footnoteRef/>
      </w:r>
      <w:r>
        <w:t xml:space="preserve"> </w:t>
      </w:r>
      <w:r w:rsidRPr="000619D3">
        <w:rPr>
          <w:highlight w:val="cyan"/>
        </w:rPr>
        <w:t>Citation needed. KL to find.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E5B9D" w14:textId="77777777" w:rsidR="00C20A08" w:rsidRDefault="0064571D">
    <w:pPr>
      <w:pStyle w:val="Header"/>
    </w:pPr>
    <w:r>
      <w:fldChar w:fldCharType="begin"/>
    </w:r>
    <w:r>
      <w:instrText xml:space="preserve"> STYLEREF  "Memo Subject"  \* MERGEFORMAT </w:instrText>
    </w:r>
    <w:r>
      <w:fldChar w:fldCharType="separate"/>
    </w:r>
    <w:r w:rsidR="00C20A08">
      <w:rPr>
        <w:noProof/>
      </w:rPr>
      <w:t>Air Quality</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7D330" w14:textId="0132D608" w:rsidR="00C20A08" w:rsidRPr="00283E36" w:rsidRDefault="00C20A08" w:rsidP="00283E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869A5"/>
    <w:multiLevelType w:val="hybridMultilevel"/>
    <w:tmpl w:val="33EC7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2A707C"/>
    <w:multiLevelType w:val="hybridMultilevel"/>
    <w:tmpl w:val="41D4D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B73705"/>
    <w:multiLevelType w:val="hybridMultilevel"/>
    <w:tmpl w:val="DF9A9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6A2375"/>
    <w:multiLevelType w:val="singleLevel"/>
    <w:tmpl w:val="6266444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66E20CB"/>
    <w:multiLevelType w:val="hybridMultilevel"/>
    <w:tmpl w:val="A3C0A1E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96A251C"/>
    <w:multiLevelType w:val="hybridMultilevel"/>
    <w:tmpl w:val="6334221E"/>
    <w:lvl w:ilvl="0" w:tplc="E5A200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263195"/>
    <w:multiLevelType w:val="hybridMultilevel"/>
    <w:tmpl w:val="7DBC0F44"/>
    <w:lvl w:ilvl="0" w:tplc="2B1425EE">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5A0D0C"/>
    <w:multiLevelType w:val="singleLevel"/>
    <w:tmpl w:val="583C55F8"/>
    <w:lvl w:ilvl="0">
      <w:start w:val="1"/>
      <w:numFmt w:val="bullet"/>
      <w:pStyle w:val="Bullet"/>
      <w:lvlText w:val=""/>
      <w:lvlJc w:val="left"/>
      <w:pPr>
        <w:tabs>
          <w:tab w:val="num" w:pos="360"/>
        </w:tabs>
        <w:ind w:left="360" w:hanging="360"/>
      </w:pPr>
      <w:rPr>
        <w:rFonts w:ascii="Symbol" w:hAnsi="Symbol" w:hint="default"/>
      </w:rPr>
    </w:lvl>
  </w:abstractNum>
  <w:abstractNum w:abstractNumId="8" w15:restartNumberingAfterBreak="0">
    <w:nsid w:val="2284649C"/>
    <w:multiLevelType w:val="hybridMultilevel"/>
    <w:tmpl w:val="F35A5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0F1CD0"/>
    <w:multiLevelType w:val="hybridMultilevel"/>
    <w:tmpl w:val="A252D0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8B59E1"/>
    <w:multiLevelType w:val="hybridMultilevel"/>
    <w:tmpl w:val="937431EC"/>
    <w:lvl w:ilvl="0" w:tplc="DD3A8180">
      <w:start w:val="1"/>
      <w:numFmt w:val="decimal"/>
      <w:lvlText w:val="(%1)"/>
      <w:lvlJc w:val="left"/>
      <w:pPr>
        <w:ind w:left="730" w:hanging="3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5320E9"/>
    <w:multiLevelType w:val="hybridMultilevel"/>
    <w:tmpl w:val="966AD2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B71F48"/>
    <w:multiLevelType w:val="hybridMultilevel"/>
    <w:tmpl w:val="7096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6D5777"/>
    <w:multiLevelType w:val="multilevel"/>
    <w:tmpl w:val="8D905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EC4B94"/>
    <w:multiLevelType w:val="hybridMultilevel"/>
    <w:tmpl w:val="57E2E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131F6A"/>
    <w:multiLevelType w:val="hybridMultilevel"/>
    <w:tmpl w:val="C720D0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83F03F4"/>
    <w:multiLevelType w:val="multilevel"/>
    <w:tmpl w:val="84369E6A"/>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3.1.1"/>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9373718"/>
    <w:multiLevelType w:val="multilevel"/>
    <w:tmpl w:val="80A4A48E"/>
    <w:lvl w:ilvl="0">
      <w:start w:val="1"/>
      <w:numFmt w:val="decimal"/>
      <w:pStyle w:val="Heading1"/>
      <w:lvlText w:val="%1."/>
      <w:lvlJc w:val="left"/>
      <w:pPr>
        <w:ind w:left="730" w:hanging="370"/>
      </w:pPr>
      <w:rPr>
        <w:rFonts w:asciiTheme="majorHAnsi" w:eastAsiaTheme="minorHAnsi" w:hAnsiTheme="majorHAnsi" w:cstheme="minorBidi"/>
      </w:rPr>
    </w:lvl>
    <w:lvl w:ilvl="1">
      <w:start w:val="1"/>
      <w:numFmt w:val="decimal"/>
      <w:pStyle w:val="Heading2"/>
      <w:isLgl/>
      <w:lvlText w:val="%1.%2"/>
      <w:lvlJc w:val="left"/>
      <w:pPr>
        <w:ind w:left="243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isLgl/>
      <w:lvlText w:val="%1.%2.%3"/>
      <w:lvlJc w:val="left"/>
      <w:pPr>
        <w:ind w:left="3690" w:hanging="720"/>
      </w:pPr>
      <w:rPr>
        <w:rFonts w:hint="default"/>
        <w:sz w:val="24"/>
        <w:szCs w:val="24"/>
      </w:rPr>
    </w:lvl>
    <w:lvl w:ilvl="3">
      <w:start w:val="1"/>
      <w:numFmt w:val="decimal"/>
      <w:pStyle w:val="Heading4"/>
      <w:isLgl/>
      <w:lvlText w:val="%1.%2.%3.%4"/>
      <w:lvlJc w:val="left"/>
      <w:pPr>
        <w:ind w:left="243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4ADF0C53"/>
    <w:multiLevelType w:val="hybridMultilevel"/>
    <w:tmpl w:val="1772D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494529"/>
    <w:multiLevelType w:val="hybridMultilevel"/>
    <w:tmpl w:val="FC503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D55006"/>
    <w:multiLevelType w:val="hybridMultilevel"/>
    <w:tmpl w:val="7458EA0E"/>
    <w:lvl w:ilvl="0" w:tplc="EDD8FA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1C657A6"/>
    <w:multiLevelType w:val="hybridMultilevel"/>
    <w:tmpl w:val="669E3DFA"/>
    <w:lvl w:ilvl="0" w:tplc="6B925A24">
      <w:start w:val="1"/>
      <w:numFmt w:val="bullet"/>
      <w:pStyle w:val="Tick"/>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2FE2243"/>
    <w:multiLevelType w:val="hybridMultilevel"/>
    <w:tmpl w:val="3C44897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473B02"/>
    <w:multiLevelType w:val="hybridMultilevel"/>
    <w:tmpl w:val="7F205898"/>
    <w:lvl w:ilvl="0" w:tplc="2A08EB84">
      <w:start w:val="1"/>
      <w:numFmt w:val="bullet"/>
      <w:lvlText w:val=""/>
      <w:lvlJc w:val="left"/>
      <w:pPr>
        <w:ind w:left="720" w:hanging="360"/>
      </w:pPr>
      <w:rPr>
        <w:rFonts w:ascii="Symbol" w:hAnsi="Symbol" w:hint="default"/>
      </w:rPr>
    </w:lvl>
    <w:lvl w:ilvl="1" w:tplc="3C1AFBB0">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C84A07"/>
    <w:multiLevelType w:val="multilevel"/>
    <w:tmpl w:val="E1C27240"/>
    <w:lvl w:ilvl="0">
      <w:start w:val="1"/>
      <w:numFmt w:val="decimal"/>
      <w:lvlText w:val="%1."/>
      <w:lvlJc w:val="left"/>
      <w:pPr>
        <w:ind w:left="360" w:hanging="360"/>
      </w:pPr>
    </w:lvl>
    <w:lvl w:ilvl="1">
      <w:start w:val="1"/>
      <w:numFmt w:val="decimal"/>
      <w:pStyle w:val="ListParagraph"/>
      <w:lvlText w:val="%1.%2."/>
      <w:lvlJc w:val="left"/>
      <w:pPr>
        <w:ind w:left="2862" w:hanging="432"/>
      </w:pPr>
    </w:lvl>
    <w:lvl w:ilvl="2">
      <w:start w:val="1"/>
      <w:numFmt w:val="decimal"/>
      <w:lvlText w:val="%1.%2.%3."/>
      <w:lvlJc w:val="left"/>
      <w:pPr>
        <w:ind w:left="248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595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95137E8"/>
    <w:multiLevelType w:val="hybridMultilevel"/>
    <w:tmpl w:val="DA1CF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8431A7"/>
    <w:multiLevelType w:val="hybridMultilevel"/>
    <w:tmpl w:val="3F2CC9F8"/>
    <w:lvl w:ilvl="0" w:tplc="0F8487F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117207"/>
    <w:multiLevelType w:val="hybridMultilevel"/>
    <w:tmpl w:val="88162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C742BF"/>
    <w:multiLevelType w:val="hybridMultilevel"/>
    <w:tmpl w:val="C6B6A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CA0430"/>
    <w:multiLevelType w:val="multilevel"/>
    <w:tmpl w:val="C8867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4C30B5"/>
    <w:multiLevelType w:val="hybridMultilevel"/>
    <w:tmpl w:val="B2D641F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B303AC8"/>
    <w:multiLevelType w:val="hybridMultilevel"/>
    <w:tmpl w:val="A56C8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6"/>
  </w:num>
  <w:num w:numId="3">
    <w:abstractNumId w:val="31"/>
  </w:num>
  <w:num w:numId="4">
    <w:abstractNumId w:val="7"/>
  </w:num>
  <w:num w:numId="5">
    <w:abstractNumId w:val="3"/>
  </w:num>
  <w:num w:numId="6">
    <w:abstractNumId w:val="28"/>
  </w:num>
  <w:num w:numId="7">
    <w:abstractNumId w:val="30"/>
  </w:num>
  <w:num w:numId="8">
    <w:abstractNumId w:val="4"/>
  </w:num>
  <w:num w:numId="9">
    <w:abstractNumId w:val="10"/>
  </w:num>
  <w:num w:numId="10">
    <w:abstractNumId w:val="26"/>
  </w:num>
  <w:num w:numId="11">
    <w:abstractNumId w:val="23"/>
  </w:num>
  <w:num w:numId="12">
    <w:abstractNumId w:val="17"/>
  </w:num>
  <w:num w:numId="13">
    <w:abstractNumId w:val="25"/>
  </w:num>
  <w:num w:numId="14">
    <w:abstractNumId w:val="19"/>
  </w:num>
  <w:num w:numId="15">
    <w:abstractNumId w:val="29"/>
  </w:num>
  <w:num w:numId="16">
    <w:abstractNumId w:val="9"/>
  </w:num>
  <w:num w:numId="17">
    <w:abstractNumId w:val="12"/>
  </w:num>
  <w:num w:numId="18">
    <w:abstractNumId w:val="13"/>
  </w:num>
  <w:num w:numId="19">
    <w:abstractNumId w:val="14"/>
  </w:num>
  <w:num w:numId="20">
    <w:abstractNumId w:val="2"/>
  </w:num>
  <w:num w:numId="21">
    <w:abstractNumId w:val="15"/>
  </w:num>
  <w:num w:numId="22">
    <w:abstractNumId w:val="20"/>
  </w:num>
  <w:num w:numId="23">
    <w:abstractNumId w:val="17"/>
  </w:num>
  <w:num w:numId="24">
    <w:abstractNumId w:val="17"/>
  </w:num>
  <w:num w:numId="25">
    <w:abstractNumId w:val="17"/>
  </w:num>
  <w:num w:numId="26">
    <w:abstractNumId w:val="22"/>
  </w:num>
  <w:num w:numId="27">
    <w:abstractNumId w:val="17"/>
  </w:num>
  <w:num w:numId="28">
    <w:abstractNumId w:val="17"/>
  </w:num>
  <w:num w:numId="29">
    <w:abstractNumId w:val="17"/>
  </w:num>
  <w:num w:numId="30">
    <w:abstractNumId w:val="17"/>
  </w:num>
  <w:num w:numId="31">
    <w:abstractNumId w:val="17"/>
  </w:num>
  <w:num w:numId="32">
    <w:abstractNumId w:val="21"/>
  </w:num>
  <w:num w:numId="33">
    <w:abstractNumId w:val="18"/>
  </w:num>
  <w:num w:numId="34">
    <w:abstractNumId w:val="11"/>
  </w:num>
  <w:num w:numId="35">
    <w:abstractNumId w:val="27"/>
  </w:num>
  <w:num w:numId="36">
    <w:abstractNumId w:val="1"/>
  </w:num>
  <w:num w:numId="37">
    <w:abstractNumId w:val="0"/>
  </w:num>
  <w:num w:numId="38">
    <w:abstractNumId w:val="5"/>
  </w:num>
  <w:num w:numId="39">
    <w:abstractNumId w:val="16"/>
  </w:num>
  <w:num w:numId="40">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4EE"/>
    <w:rsid w:val="00007D76"/>
    <w:rsid w:val="000118C8"/>
    <w:rsid w:val="00014DBC"/>
    <w:rsid w:val="00022484"/>
    <w:rsid w:val="000359F8"/>
    <w:rsid w:val="000363E7"/>
    <w:rsid w:val="000405EB"/>
    <w:rsid w:val="00043880"/>
    <w:rsid w:val="0005065E"/>
    <w:rsid w:val="00052CE1"/>
    <w:rsid w:val="0005450B"/>
    <w:rsid w:val="00054A63"/>
    <w:rsid w:val="00056897"/>
    <w:rsid w:val="00057DB2"/>
    <w:rsid w:val="00061008"/>
    <w:rsid w:val="000619D3"/>
    <w:rsid w:val="00062121"/>
    <w:rsid w:val="00066111"/>
    <w:rsid w:val="000805DA"/>
    <w:rsid w:val="00080BD4"/>
    <w:rsid w:val="00091086"/>
    <w:rsid w:val="000A140B"/>
    <w:rsid w:val="000A60CF"/>
    <w:rsid w:val="000A672C"/>
    <w:rsid w:val="000B03C2"/>
    <w:rsid w:val="000B7ED3"/>
    <w:rsid w:val="000C0150"/>
    <w:rsid w:val="000C231D"/>
    <w:rsid w:val="000D2DEF"/>
    <w:rsid w:val="000D56AA"/>
    <w:rsid w:val="000E5FEB"/>
    <w:rsid w:val="000F46DC"/>
    <w:rsid w:val="001051B2"/>
    <w:rsid w:val="001054FD"/>
    <w:rsid w:val="00105F94"/>
    <w:rsid w:val="00107B11"/>
    <w:rsid w:val="0011238C"/>
    <w:rsid w:val="00112A9E"/>
    <w:rsid w:val="00116964"/>
    <w:rsid w:val="001172EC"/>
    <w:rsid w:val="001212A7"/>
    <w:rsid w:val="00124B0B"/>
    <w:rsid w:val="00127AC8"/>
    <w:rsid w:val="0013484E"/>
    <w:rsid w:val="0014000D"/>
    <w:rsid w:val="0014354E"/>
    <w:rsid w:val="0015401B"/>
    <w:rsid w:val="00154A35"/>
    <w:rsid w:val="0015648E"/>
    <w:rsid w:val="00163284"/>
    <w:rsid w:val="00185DE9"/>
    <w:rsid w:val="00191DAE"/>
    <w:rsid w:val="00193795"/>
    <w:rsid w:val="00195C28"/>
    <w:rsid w:val="00196D88"/>
    <w:rsid w:val="00197DE6"/>
    <w:rsid w:val="001B0540"/>
    <w:rsid w:val="001B2148"/>
    <w:rsid w:val="001B6DE8"/>
    <w:rsid w:val="001D4C61"/>
    <w:rsid w:val="001E1963"/>
    <w:rsid w:val="001E2FF3"/>
    <w:rsid w:val="001E6C3F"/>
    <w:rsid w:val="001F044C"/>
    <w:rsid w:val="001F10FC"/>
    <w:rsid w:val="001F35D7"/>
    <w:rsid w:val="001F5DE2"/>
    <w:rsid w:val="00210584"/>
    <w:rsid w:val="00212977"/>
    <w:rsid w:val="002234E0"/>
    <w:rsid w:val="00227E40"/>
    <w:rsid w:val="00231060"/>
    <w:rsid w:val="00233835"/>
    <w:rsid w:val="00240FBF"/>
    <w:rsid w:val="00243888"/>
    <w:rsid w:val="0024644F"/>
    <w:rsid w:val="002677F8"/>
    <w:rsid w:val="00270974"/>
    <w:rsid w:val="00283502"/>
    <w:rsid w:val="00283E36"/>
    <w:rsid w:val="00286E2F"/>
    <w:rsid w:val="00291433"/>
    <w:rsid w:val="00293909"/>
    <w:rsid w:val="00294188"/>
    <w:rsid w:val="002958D9"/>
    <w:rsid w:val="002958DD"/>
    <w:rsid w:val="002A1F30"/>
    <w:rsid w:val="002A6BA9"/>
    <w:rsid w:val="002C043A"/>
    <w:rsid w:val="002C18A3"/>
    <w:rsid w:val="002C2CB1"/>
    <w:rsid w:val="002D5840"/>
    <w:rsid w:val="002E3238"/>
    <w:rsid w:val="002F6DE0"/>
    <w:rsid w:val="003135AA"/>
    <w:rsid w:val="00326D97"/>
    <w:rsid w:val="00326EC8"/>
    <w:rsid w:val="00327F16"/>
    <w:rsid w:val="00331A35"/>
    <w:rsid w:val="0034030D"/>
    <w:rsid w:val="00343CAE"/>
    <w:rsid w:val="00352942"/>
    <w:rsid w:val="003535B9"/>
    <w:rsid w:val="003612E4"/>
    <w:rsid w:val="003736EA"/>
    <w:rsid w:val="003737C0"/>
    <w:rsid w:val="00375528"/>
    <w:rsid w:val="00375C1A"/>
    <w:rsid w:val="003803E6"/>
    <w:rsid w:val="00384685"/>
    <w:rsid w:val="003855F2"/>
    <w:rsid w:val="0038727D"/>
    <w:rsid w:val="00390E9F"/>
    <w:rsid w:val="00393212"/>
    <w:rsid w:val="003957CB"/>
    <w:rsid w:val="00397D9B"/>
    <w:rsid w:val="003A005E"/>
    <w:rsid w:val="003A41CE"/>
    <w:rsid w:val="003B32CB"/>
    <w:rsid w:val="003B77B6"/>
    <w:rsid w:val="003C33EF"/>
    <w:rsid w:val="003C367F"/>
    <w:rsid w:val="003C6FDB"/>
    <w:rsid w:val="003C7CB6"/>
    <w:rsid w:val="003D138D"/>
    <w:rsid w:val="003D4424"/>
    <w:rsid w:val="003D7B10"/>
    <w:rsid w:val="003E48C8"/>
    <w:rsid w:val="003F2EEC"/>
    <w:rsid w:val="003F4BF5"/>
    <w:rsid w:val="003F547E"/>
    <w:rsid w:val="003F7BA6"/>
    <w:rsid w:val="003F7EC1"/>
    <w:rsid w:val="004002B2"/>
    <w:rsid w:val="0040131E"/>
    <w:rsid w:val="00401388"/>
    <w:rsid w:val="004030BA"/>
    <w:rsid w:val="00410EAF"/>
    <w:rsid w:val="00410FBC"/>
    <w:rsid w:val="004126F1"/>
    <w:rsid w:val="00417935"/>
    <w:rsid w:val="00417DAA"/>
    <w:rsid w:val="00426B65"/>
    <w:rsid w:val="00431CBE"/>
    <w:rsid w:val="00432EDD"/>
    <w:rsid w:val="0043395F"/>
    <w:rsid w:val="004354F1"/>
    <w:rsid w:val="00442996"/>
    <w:rsid w:val="00444C41"/>
    <w:rsid w:val="00445D6F"/>
    <w:rsid w:val="00447F7A"/>
    <w:rsid w:val="00454C75"/>
    <w:rsid w:val="00455577"/>
    <w:rsid w:val="0046388F"/>
    <w:rsid w:val="004655FE"/>
    <w:rsid w:val="004677F8"/>
    <w:rsid w:val="004772AD"/>
    <w:rsid w:val="0048164B"/>
    <w:rsid w:val="004A1521"/>
    <w:rsid w:val="004A4F24"/>
    <w:rsid w:val="004B3C2E"/>
    <w:rsid w:val="004B41A2"/>
    <w:rsid w:val="004C349A"/>
    <w:rsid w:val="004D14BC"/>
    <w:rsid w:val="004D376A"/>
    <w:rsid w:val="004F4867"/>
    <w:rsid w:val="004F69B7"/>
    <w:rsid w:val="00507EE6"/>
    <w:rsid w:val="00511607"/>
    <w:rsid w:val="0051318C"/>
    <w:rsid w:val="0052046F"/>
    <w:rsid w:val="00522153"/>
    <w:rsid w:val="00530669"/>
    <w:rsid w:val="0053427B"/>
    <w:rsid w:val="00537607"/>
    <w:rsid w:val="00541313"/>
    <w:rsid w:val="00543CA3"/>
    <w:rsid w:val="00554A07"/>
    <w:rsid w:val="00564DCE"/>
    <w:rsid w:val="00565C7A"/>
    <w:rsid w:val="00566727"/>
    <w:rsid w:val="00575505"/>
    <w:rsid w:val="00575E5F"/>
    <w:rsid w:val="00577345"/>
    <w:rsid w:val="00586CF6"/>
    <w:rsid w:val="00596F8C"/>
    <w:rsid w:val="005A2133"/>
    <w:rsid w:val="005A2FDD"/>
    <w:rsid w:val="005A69F0"/>
    <w:rsid w:val="005C4F36"/>
    <w:rsid w:val="005C6189"/>
    <w:rsid w:val="005C793A"/>
    <w:rsid w:val="005D3056"/>
    <w:rsid w:val="005D5EBB"/>
    <w:rsid w:val="005E29F9"/>
    <w:rsid w:val="005E4345"/>
    <w:rsid w:val="005E5709"/>
    <w:rsid w:val="005E5F62"/>
    <w:rsid w:val="005F2EEB"/>
    <w:rsid w:val="005F3595"/>
    <w:rsid w:val="005F60A1"/>
    <w:rsid w:val="00611550"/>
    <w:rsid w:val="006130A6"/>
    <w:rsid w:val="006131B7"/>
    <w:rsid w:val="00613AA9"/>
    <w:rsid w:val="00617992"/>
    <w:rsid w:val="00625084"/>
    <w:rsid w:val="00625EF3"/>
    <w:rsid w:val="00631EC4"/>
    <w:rsid w:val="00634941"/>
    <w:rsid w:val="00634B9B"/>
    <w:rsid w:val="00636E31"/>
    <w:rsid w:val="006422D3"/>
    <w:rsid w:val="0064258F"/>
    <w:rsid w:val="00644C9A"/>
    <w:rsid w:val="0064571D"/>
    <w:rsid w:val="006669D5"/>
    <w:rsid w:val="0067342A"/>
    <w:rsid w:val="00690C34"/>
    <w:rsid w:val="006A5AB4"/>
    <w:rsid w:val="006B326A"/>
    <w:rsid w:val="006B3B15"/>
    <w:rsid w:val="006B760D"/>
    <w:rsid w:val="006B7A73"/>
    <w:rsid w:val="006C1C3A"/>
    <w:rsid w:val="006C3703"/>
    <w:rsid w:val="006D54CA"/>
    <w:rsid w:val="006D7C96"/>
    <w:rsid w:val="006E71F8"/>
    <w:rsid w:val="007155DC"/>
    <w:rsid w:val="00721592"/>
    <w:rsid w:val="007230BB"/>
    <w:rsid w:val="00727B51"/>
    <w:rsid w:val="00733E63"/>
    <w:rsid w:val="00734AFE"/>
    <w:rsid w:val="00735A95"/>
    <w:rsid w:val="00742634"/>
    <w:rsid w:val="007523DC"/>
    <w:rsid w:val="00752EE9"/>
    <w:rsid w:val="0075796A"/>
    <w:rsid w:val="0076224E"/>
    <w:rsid w:val="00764A1C"/>
    <w:rsid w:val="007713D7"/>
    <w:rsid w:val="007720AC"/>
    <w:rsid w:val="00773EFE"/>
    <w:rsid w:val="00774493"/>
    <w:rsid w:val="0077456A"/>
    <w:rsid w:val="007800B3"/>
    <w:rsid w:val="00785A3E"/>
    <w:rsid w:val="007967EF"/>
    <w:rsid w:val="007A12EB"/>
    <w:rsid w:val="007A3C51"/>
    <w:rsid w:val="007A4E7B"/>
    <w:rsid w:val="007A7DFD"/>
    <w:rsid w:val="007B1A7D"/>
    <w:rsid w:val="007C0E09"/>
    <w:rsid w:val="007C482F"/>
    <w:rsid w:val="007C589D"/>
    <w:rsid w:val="007C670C"/>
    <w:rsid w:val="007D098C"/>
    <w:rsid w:val="007D11A5"/>
    <w:rsid w:val="007D49FA"/>
    <w:rsid w:val="007E065E"/>
    <w:rsid w:val="007E4F9F"/>
    <w:rsid w:val="007E614A"/>
    <w:rsid w:val="007E6F11"/>
    <w:rsid w:val="007E77E8"/>
    <w:rsid w:val="00800BAA"/>
    <w:rsid w:val="008022E8"/>
    <w:rsid w:val="00802912"/>
    <w:rsid w:val="00804458"/>
    <w:rsid w:val="00806DB9"/>
    <w:rsid w:val="00817802"/>
    <w:rsid w:val="00823B90"/>
    <w:rsid w:val="00824BEC"/>
    <w:rsid w:val="0083288A"/>
    <w:rsid w:val="008452A8"/>
    <w:rsid w:val="00846956"/>
    <w:rsid w:val="00847218"/>
    <w:rsid w:val="008479FC"/>
    <w:rsid w:val="00860460"/>
    <w:rsid w:val="00860FB6"/>
    <w:rsid w:val="008754EE"/>
    <w:rsid w:val="00883642"/>
    <w:rsid w:val="00885E8A"/>
    <w:rsid w:val="00886366"/>
    <w:rsid w:val="008920E4"/>
    <w:rsid w:val="00892AB9"/>
    <w:rsid w:val="008972DC"/>
    <w:rsid w:val="00897CAF"/>
    <w:rsid w:val="008A2018"/>
    <w:rsid w:val="008B1DFE"/>
    <w:rsid w:val="008D0D95"/>
    <w:rsid w:val="008D3859"/>
    <w:rsid w:val="008D6886"/>
    <w:rsid w:val="008D7736"/>
    <w:rsid w:val="008E2671"/>
    <w:rsid w:val="008F49F1"/>
    <w:rsid w:val="008F5BE2"/>
    <w:rsid w:val="009009B0"/>
    <w:rsid w:val="0090168F"/>
    <w:rsid w:val="00916EFD"/>
    <w:rsid w:val="00936C03"/>
    <w:rsid w:val="00940683"/>
    <w:rsid w:val="0094330A"/>
    <w:rsid w:val="00947B41"/>
    <w:rsid w:val="009550BF"/>
    <w:rsid w:val="00965628"/>
    <w:rsid w:val="00971879"/>
    <w:rsid w:val="00974DAC"/>
    <w:rsid w:val="0097672B"/>
    <w:rsid w:val="009776DB"/>
    <w:rsid w:val="00986E03"/>
    <w:rsid w:val="00997768"/>
    <w:rsid w:val="00997D9F"/>
    <w:rsid w:val="009A0948"/>
    <w:rsid w:val="009A359A"/>
    <w:rsid w:val="009B6E24"/>
    <w:rsid w:val="009C1CB0"/>
    <w:rsid w:val="009C2077"/>
    <w:rsid w:val="009C403E"/>
    <w:rsid w:val="009C515E"/>
    <w:rsid w:val="009D3D39"/>
    <w:rsid w:val="009D4934"/>
    <w:rsid w:val="009D7CD7"/>
    <w:rsid w:val="009E3873"/>
    <w:rsid w:val="009E3D1F"/>
    <w:rsid w:val="009E3DBF"/>
    <w:rsid w:val="009E421E"/>
    <w:rsid w:val="009E4443"/>
    <w:rsid w:val="009E5BB1"/>
    <w:rsid w:val="009F0AFF"/>
    <w:rsid w:val="00A00C55"/>
    <w:rsid w:val="00A02E28"/>
    <w:rsid w:val="00A04E98"/>
    <w:rsid w:val="00A27A81"/>
    <w:rsid w:val="00A50DFF"/>
    <w:rsid w:val="00A52D2C"/>
    <w:rsid w:val="00A61119"/>
    <w:rsid w:val="00A629A3"/>
    <w:rsid w:val="00A63FF8"/>
    <w:rsid w:val="00A64F6F"/>
    <w:rsid w:val="00A671A8"/>
    <w:rsid w:val="00A72C25"/>
    <w:rsid w:val="00A73103"/>
    <w:rsid w:val="00A80F3E"/>
    <w:rsid w:val="00A8660D"/>
    <w:rsid w:val="00A92A53"/>
    <w:rsid w:val="00A94E77"/>
    <w:rsid w:val="00AA0810"/>
    <w:rsid w:val="00AA17A6"/>
    <w:rsid w:val="00AA2556"/>
    <w:rsid w:val="00AA4617"/>
    <w:rsid w:val="00AA474A"/>
    <w:rsid w:val="00AB57BA"/>
    <w:rsid w:val="00AC2561"/>
    <w:rsid w:val="00AC43EA"/>
    <w:rsid w:val="00AD10BF"/>
    <w:rsid w:val="00AD43A6"/>
    <w:rsid w:val="00AE4979"/>
    <w:rsid w:val="00B14C12"/>
    <w:rsid w:val="00B23B35"/>
    <w:rsid w:val="00B3616F"/>
    <w:rsid w:val="00B4011F"/>
    <w:rsid w:val="00B44969"/>
    <w:rsid w:val="00B5402C"/>
    <w:rsid w:val="00B54911"/>
    <w:rsid w:val="00B54FE5"/>
    <w:rsid w:val="00B57A9D"/>
    <w:rsid w:val="00B636DB"/>
    <w:rsid w:val="00B63ACE"/>
    <w:rsid w:val="00B705CA"/>
    <w:rsid w:val="00B7153B"/>
    <w:rsid w:val="00B73A46"/>
    <w:rsid w:val="00B73FB5"/>
    <w:rsid w:val="00B90CCA"/>
    <w:rsid w:val="00B96B2E"/>
    <w:rsid w:val="00BA2C3D"/>
    <w:rsid w:val="00BB23B1"/>
    <w:rsid w:val="00BB3145"/>
    <w:rsid w:val="00BB4FD7"/>
    <w:rsid w:val="00BB5473"/>
    <w:rsid w:val="00BC7952"/>
    <w:rsid w:val="00BD0D45"/>
    <w:rsid w:val="00BD1FE4"/>
    <w:rsid w:val="00BD644E"/>
    <w:rsid w:val="00BE4987"/>
    <w:rsid w:val="00BE53A6"/>
    <w:rsid w:val="00BE5B79"/>
    <w:rsid w:val="00BE65BF"/>
    <w:rsid w:val="00BF0F81"/>
    <w:rsid w:val="00BF1814"/>
    <w:rsid w:val="00BF312D"/>
    <w:rsid w:val="00C0535B"/>
    <w:rsid w:val="00C1304A"/>
    <w:rsid w:val="00C20A08"/>
    <w:rsid w:val="00C21E21"/>
    <w:rsid w:val="00C230BA"/>
    <w:rsid w:val="00C3093E"/>
    <w:rsid w:val="00C33877"/>
    <w:rsid w:val="00C373BE"/>
    <w:rsid w:val="00C375E2"/>
    <w:rsid w:val="00C41FED"/>
    <w:rsid w:val="00C4775B"/>
    <w:rsid w:val="00C536B2"/>
    <w:rsid w:val="00C7143F"/>
    <w:rsid w:val="00C71F90"/>
    <w:rsid w:val="00C74697"/>
    <w:rsid w:val="00C758FD"/>
    <w:rsid w:val="00C773DB"/>
    <w:rsid w:val="00C77631"/>
    <w:rsid w:val="00C81B8E"/>
    <w:rsid w:val="00C82BE4"/>
    <w:rsid w:val="00C85C20"/>
    <w:rsid w:val="00C8740F"/>
    <w:rsid w:val="00C87F0D"/>
    <w:rsid w:val="00C913F9"/>
    <w:rsid w:val="00C97E5F"/>
    <w:rsid w:val="00CA473D"/>
    <w:rsid w:val="00CB2805"/>
    <w:rsid w:val="00CC242F"/>
    <w:rsid w:val="00CE0E62"/>
    <w:rsid w:val="00CE66EA"/>
    <w:rsid w:val="00CE76F0"/>
    <w:rsid w:val="00CF03C3"/>
    <w:rsid w:val="00CF0540"/>
    <w:rsid w:val="00CF1A71"/>
    <w:rsid w:val="00CF5AA5"/>
    <w:rsid w:val="00D06AF7"/>
    <w:rsid w:val="00D12D6B"/>
    <w:rsid w:val="00D14154"/>
    <w:rsid w:val="00D1703B"/>
    <w:rsid w:val="00D20EFE"/>
    <w:rsid w:val="00D21629"/>
    <w:rsid w:val="00D270BF"/>
    <w:rsid w:val="00D2789C"/>
    <w:rsid w:val="00D42742"/>
    <w:rsid w:val="00D4512C"/>
    <w:rsid w:val="00D47526"/>
    <w:rsid w:val="00D57BD2"/>
    <w:rsid w:val="00D660DF"/>
    <w:rsid w:val="00D705B4"/>
    <w:rsid w:val="00D77FA7"/>
    <w:rsid w:val="00D81A7A"/>
    <w:rsid w:val="00D81F45"/>
    <w:rsid w:val="00D83404"/>
    <w:rsid w:val="00D868F6"/>
    <w:rsid w:val="00D93289"/>
    <w:rsid w:val="00DA0429"/>
    <w:rsid w:val="00DA0DAB"/>
    <w:rsid w:val="00DA265F"/>
    <w:rsid w:val="00DB5986"/>
    <w:rsid w:val="00DB77C2"/>
    <w:rsid w:val="00DD3ADF"/>
    <w:rsid w:val="00DE46DF"/>
    <w:rsid w:val="00DF20AA"/>
    <w:rsid w:val="00DF7874"/>
    <w:rsid w:val="00E11949"/>
    <w:rsid w:val="00E209E9"/>
    <w:rsid w:val="00E22C42"/>
    <w:rsid w:val="00E24570"/>
    <w:rsid w:val="00E3380D"/>
    <w:rsid w:val="00E404C8"/>
    <w:rsid w:val="00E46182"/>
    <w:rsid w:val="00E5125F"/>
    <w:rsid w:val="00E62D63"/>
    <w:rsid w:val="00E653DA"/>
    <w:rsid w:val="00E80CAF"/>
    <w:rsid w:val="00E8188B"/>
    <w:rsid w:val="00E8383D"/>
    <w:rsid w:val="00E90EC5"/>
    <w:rsid w:val="00E9238E"/>
    <w:rsid w:val="00E9794B"/>
    <w:rsid w:val="00EA2075"/>
    <w:rsid w:val="00EB29C5"/>
    <w:rsid w:val="00EB55A9"/>
    <w:rsid w:val="00EB5931"/>
    <w:rsid w:val="00EC1BDA"/>
    <w:rsid w:val="00EC392D"/>
    <w:rsid w:val="00EC72B9"/>
    <w:rsid w:val="00ED4E71"/>
    <w:rsid w:val="00ED4EDD"/>
    <w:rsid w:val="00EE1FF3"/>
    <w:rsid w:val="00EE351A"/>
    <w:rsid w:val="00EE529C"/>
    <w:rsid w:val="00EF3176"/>
    <w:rsid w:val="00EF4031"/>
    <w:rsid w:val="00EF5A03"/>
    <w:rsid w:val="00EF6F27"/>
    <w:rsid w:val="00F149BD"/>
    <w:rsid w:val="00F3551A"/>
    <w:rsid w:val="00F40246"/>
    <w:rsid w:val="00F41B37"/>
    <w:rsid w:val="00F47A1B"/>
    <w:rsid w:val="00F54CA9"/>
    <w:rsid w:val="00F6177A"/>
    <w:rsid w:val="00F630BC"/>
    <w:rsid w:val="00F67978"/>
    <w:rsid w:val="00F7304E"/>
    <w:rsid w:val="00F7763D"/>
    <w:rsid w:val="00F82DEF"/>
    <w:rsid w:val="00F8609F"/>
    <w:rsid w:val="00F92E01"/>
    <w:rsid w:val="00FA005E"/>
    <w:rsid w:val="00FB4D9C"/>
    <w:rsid w:val="00FB4F92"/>
    <w:rsid w:val="00FB51F8"/>
    <w:rsid w:val="00FB6870"/>
    <w:rsid w:val="00FC4692"/>
    <w:rsid w:val="00FC60C7"/>
    <w:rsid w:val="00FD3575"/>
    <w:rsid w:val="00FD7B18"/>
    <w:rsid w:val="00FE1D2F"/>
    <w:rsid w:val="00FE1FBF"/>
    <w:rsid w:val="00FE3AA6"/>
    <w:rsid w:val="00FF4284"/>
    <w:rsid w:val="00FF68BD"/>
    <w:rsid w:val="00FF7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1A563C2"/>
  <w15:docId w15:val="{4B198543-DDBF-457F-BAF7-D65BE2E9F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3F9"/>
    <w:pPr>
      <w:spacing w:after="0"/>
    </w:pPr>
    <w:rPr>
      <w:rFonts w:asciiTheme="majorHAnsi" w:hAnsiTheme="majorHAnsi"/>
      <w:sz w:val="24"/>
    </w:rPr>
  </w:style>
  <w:style w:type="paragraph" w:styleId="Heading1">
    <w:name w:val="heading 1"/>
    <w:basedOn w:val="Style1Heading"/>
    <w:next w:val="Normal"/>
    <w:link w:val="Heading1Char"/>
    <w:uiPriority w:val="1"/>
    <w:qFormat/>
    <w:rsid w:val="003F4BF5"/>
    <w:pPr>
      <w:numPr>
        <w:numId w:val="12"/>
      </w:numPr>
      <w:ind w:left="360"/>
      <w:outlineLvl w:val="0"/>
    </w:pPr>
  </w:style>
  <w:style w:type="paragraph" w:styleId="Heading2">
    <w:name w:val="heading 2"/>
    <w:basedOn w:val="Style2Heading"/>
    <w:next w:val="Normal"/>
    <w:link w:val="Heading2Char"/>
    <w:uiPriority w:val="1"/>
    <w:unhideWhenUsed/>
    <w:qFormat/>
    <w:rsid w:val="00293909"/>
    <w:pPr>
      <w:keepNext/>
      <w:numPr>
        <w:ilvl w:val="1"/>
        <w:numId w:val="12"/>
      </w:numPr>
      <w:spacing w:before="120" w:after="120"/>
      <w:ind w:left="720"/>
      <w:outlineLvl w:val="1"/>
    </w:pPr>
  </w:style>
  <w:style w:type="paragraph" w:styleId="Heading3">
    <w:name w:val="heading 3"/>
    <w:basedOn w:val="Style3Heading"/>
    <w:next w:val="Normal"/>
    <w:link w:val="Heading3Char"/>
    <w:uiPriority w:val="9"/>
    <w:unhideWhenUsed/>
    <w:qFormat/>
    <w:rsid w:val="00DE46DF"/>
    <w:pPr>
      <w:numPr>
        <w:ilvl w:val="2"/>
        <w:numId w:val="12"/>
      </w:numPr>
      <w:ind w:left="720"/>
      <w:outlineLvl w:val="2"/>
    </w:pPr>
  </w:style>
  <w:style w:type="paragraph" w:styleId="Heading4">
    <w:name w:val="heading 4"/>
    <w:basedOn w:val="Heading3"/>
    <w:next w:val="Normal"/>
    <w:link w:val="Heading4Char"/>
    <w:uiPriority w:val="9"/>
    <w:unhideWhenUsed/>
    <w:qFormat/>
    <w:rsid w:val="00C230BA"/>
    <w:pPr>
      <w:numPr>
        <w:ilvl w:val="3"/>
      </w:numPr>
      <w:ind w:left="1080"/>
      <w:outlineLvl w:val="3"/>
    </w:pPr>
  </w:style>
  <w:style w:type="paragraph" w:styleId="Heading5">
    <w:name w:val="heading 5"/>
    <w:basedOn w:val="Normal"/>
    <w:next w:val="Normal"/>
    <w:link w:val="Heading5Char"/>
    <w:uiPriority w:val="9"/>
    <w:unhideWhenUsed/>
    <w:qFormat/>
    <w:rsid w:val="006B3B15"/>
    <w:pPr>
      <w:outlineLvl w:val="4"/>
    </w:pPr>
    <w:rPr>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F4BF5"/>
    <w:rPr>
      <w:rFonts w:asciiTheme="majorHAnsi" w:hAnsiTheme="majorHAnsi"/>
      <w:b/>
      <w:caps/>
      <w:sz w:val="28"/>
      <w:szCs w:val="28"/>
    </w:rPr>
  </w:style>
  <w:style w:type="character" w:customStyle="1" w:styleId="Heading2Char">
    <w:name w:val="Heading 2 Char"/>
    <w:basedOn w:val="DefaultParagraphFont"/>
    <w:link w:val="Heading2"/>
    <w:uiPriority w:val="9"/>
    <w:rsid w:val="00293909"/>
    <w:rPr>
      <w:rFonts w:asciiTheme="majorHAnsi" w:hAnsiTheme="majorHAnsi"/>
      <w:b/>
      <w:sz w:val="28"/>
      <w:szCs w:val="28"/>
    </w:rPr>
  </w:style>
  <w:style w:type="paragraph" w:styleId="Title">
    <w:name w:val="Title"/>
    <w:basedOn w:val="Normal"/>
    <w:next w:val="Normal"/>
    <w:link w:val="TitleChar"/>
    <w:uiPriority w:val="10"/>
    <w:qFormat/>
    <w:rsid w:val="008754EE"/>
    <w:pPr>
      <w:pBdr>
        <w:bottom w:val="single" w:sz="8" w:space="4" w:color="4F81BD" w:themeColor="accent1"/>
      </w:pBdr>
      <w:spacing w:after="300" w:line="240" w:lineRule="auto"/>
      <w:contextualSpacing/>
    </w:pPr>
    <w:rPr>
      <w:rFonts w:eastAsiaTheme="majorEastAsia" w:cstheme="majorBidi"/>
      <w:b/>
      <w:color w:val="17365D" w:themeColor="text2" w:themeShade="BF"/>
      <w:spacing w:val="5"/>
      <w:kern w:val="28"/>
      <w:sz w:val="36"/>
      <w:szCs w:val="52"/>
    </w:rPr>
  </w:style>
  <w:style w:type="character" w:customStyle="1" w:styleId="TitleChar">
    <w:name w:val="Title Char"/>
    <w:basedOn w:val="DefaultParagraphFont"/>
    <w:link w:val="Title"/>
    <w:uiPriority w:val="10"/>
    <w:rsid w:val="008754EE"/>
    <w:rPr>
      <w:rFonts w:asciiTheme="majorHAnsi" w:eastAsiaTheme="majorEastAsia" w:hAnsiTheme="majorHAnsi" w:cstheme="majorBidi"/>
      <w:b/>
      <w:color w:val="17365D" w:themeColor="text2" w:themeShade="BF"/>
      <w:spacing w:val="5"/>
      <w:kern w:val="28"/>
      <w:sz w:val="36"/>
      <w:szCs w:val="52"/>
    </w:rPr>
  </w:style>
  <w:style w:type="paragraph" w:styleId="ListParagraph">
    <w:name w:val="List Paragraph"/>
    <w:basedOn w:val="Normal"/>
    <w:link w:val="ListParagraphChar"/>
    <w:uiPriority w:val="34"/>
    <w:qFormat/>
    <w:rsid w:val="00565C7A"/>
    <w:pPr>
      <w:numPr>
        <w:ilvl w:val="1"/>
        <w:numId w:val="1"/>
      </w:numPr>
      <w:ind w:left="1422"/>
      <w:contextualSpacing/>
    </w:pPr>
  </w:style>
  <w:style w:type="paragraph" w:customStyle="1" w:styleId="Bullet1">
    <w:name w:val="Bullet 1"/>
    <w:basedOn w:val="ListParagraph"/>
    <w:link w:val="Bullet1Char"/>
    <w:qFormat/>
    <w:rsid w:val="008754EE"/>
    <w:pPr>
      <w:numPr>
        <w:ilvl w:val="0"/>
        <w:numId w:val="0"/>
      </w:numPr>
      <w:ind w:left="1440" w:hanging="360"/>
    </w:pPr>
  </w:style>
  <w:style w:type="paragraph" w:customStyle="1" w:styleId="Bullet2">
    <w:name w:val="Bullet 2"/>
    <w:basedOn w:val="Bullet1"/>
    <w:link w:val="Bullet2Char"/>
    <w:qFormat/>
    <w:rsid w:val="008754EE"/>
  </w:style>
  <w:style w:type="character" w:customStyle="1" w:styleId="ListParagraphChar">
    <w:name w:val="List Paragraph Char"/>
    <w:basedOn w:val="DefaultParagraphFont"/>
    <w:link w:val="ListParagraph"/>
    <w:uiPriority w:val="34"/>
    <w:rsid w:val="00565C7A"/>
    <w:rPr>
      <w:rFonts w:asciiTheme="majorHAnsi" w:hAnsiTheme="majorHAnsi"/>
      <w:sz w:val="24"/>
    </w:rPr>
  </w:style>
  <w:style w:type="character" w:customStyle="1" w:styleId="Bullet1Char">
    <w:name w:val="Bullet 1 Char"/>
    <w:basedOn w:val="ListParagraphChar"/>
    <w:link w:val="Bullet1"/>
    <w:rsid w:val="008754EE"/>
    <w:rPr>
      <w:rFonts w:asciiTheme="majorHAnsi" w:hAnsiTheme="majorHAnsi"/>
      <w:sz w:val="24"/>
    </w:rPr>
  </w:style>
  <w:style w:type="character" w:customStyle="1" w:styleId="Bullet2Char">
    <w:name w:val="Bullet 2 Char"/>
    <w:basedOn w:val="Bullet1Char"/>
    <w:link w:val="Bullet2"/>
    <w:rsid w:val="008754EE"/>
    <w:rPr>
      <w:rFonts w:asciiTheme="majorHAnsi" w:hAnsiTheme="majorHAnsi"/>
      <w:sz w:val="24"/>
    </w:rPr>
  </w:style>
  <w:style w:type="table" w:styleId="TableGrid">
    <w:name w:val="Table Grid"/>
    <w:basedOn w:val="TableNormal"/>
    <w:rsid w:val="00D14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57A9D"/>
    <w:pPr>
      <w:tabs>
        <w:tab w:val="center" w:pos="4680"/>
        <w:tab w:val="right" w:pos="9360"/>
      </w:tabs>
      <w:spacing w:line="240" w:lineRule="auto"/>
    </w:pPr>
  </w:style>
  <w:style w:type="character" w:customStyle="1" w:styleId="HeaderChar">
    <w:name w:val="Header Char"/>
    <w:basedOn w:val="DefaultParagraphFont"/>
    <w:link w:val="Header"/>
    <w:uiPriority w:val="99"/>
    <w:rsid w:val="00B57A9D"/>
    <w:rPr>
      <w:rFonts w:asciiTheme="majorHAnsi" w:hAnsiTheme="majorHAnsi"/>
      <w:sz w:val="24"/>
    </w:rPr>
  </w:style>
  <w:style w:type="paragraph" w:styleId="Footer">
    <w:name w:val="footer"/>
    <w:basedOn w:val="Normal"/>
    <w:link w:val="FooterChar"/>
    <w:uiPriority w:val="99"/>
    <w:unhideWhenUsed/>
    <w:rsid w:val="00B57A9D"/>
    <w:pPr>
      <w:tabs>
        <w:tab w:val="center" w:pos="4680"/>
        <w:tab w:val="right" w:pos="9360"/>
      </w:tabs>
      <w:spacing w:line="240" w:lineRule="auto"/>
    </w:pPr>
  </w:style>
  <w:style w:type="character" w:customStyle="1" w:styleId="FooterChar">
    <w:name w:val="Footer Char"/>
    <w:basedOn w:val="DefaultParagraphFont"/>
    <w:link w:val="Footer"/>
    <w:uiPriority w:val="99"/>
    <w:rsid w:val="00B57A9D"/>
    <w:rPr>
      <w:rFonts w:asciiTheme="majorHAnsi" w:hAnsiTheme="majorHAnsi"/>
      <w:sz w:val="24"/>
    </w:rPr>
  </w:style>
  <w:style w:type="paragraph" w:customStyle="1" w:styleId="Style1Heading">
    <w:name w:val="Style1Heading"/>
    <w:basedOn w:val="Normal"/>
    <w:link w:val="Style1HeadingChar"/>
    <w:qFormat/>
    <w:rsid w:val="0090168F"/>
    <w:pPr>
      <w:keepNext/>
      <w:spacing w:before="240" w:after="240" w:line="240" w:lineRule="auto"/>
      <w:contextualSpacing/>
    </w:pPr>
    <w:rPr>
      <w:b/>
      <w:caps/>
      <w:sz w:val="28"/>
      <w:szCs w:val="28"/>
    </w:rPr>
  </w:style>
  <w:style w:type="paragraph" w:customStyle="1" w:styleId="Style2Heading">
    <w:name w:val="Style2Heading"/>
    <w:basedOn w:val="ListParagraph"/>
    <w:link w:val="Style2HeadingChar"/>
    <w:qFormat/>
    <w:rsid w:val="0090168F"/>
    <w:pPr>
      <w:numPr>
        <w:ilvl w:val="0"/>
        <w:numId w:val="0"/>
      </w:numPr>
      <w:spacing w:before="240" w:after="240" w:line="240" w:lineRule="auto"/>
      <w:contextualSpacing w:val="0"/>
    </w:pPr>
    <w:rPr>
      <w:b/>
      <w:sz w:val="28"/>
      <w:szCs w:val="28"/>
    </w:rPr>
  </w:style>
  <w:style w:type="character" w:customStyle="1" w:styleId="Style1HeadingChar">
    <w:name w:val="Style1Heading Char"/>
    <w:basedOn w:val="ListParagraphChar"/>
    <w:link w:val="Style1Heading"/>
    <w:rsid w:val="0090168F"/>
    <w:rPr>
      <w:rFonts w:asciiTheme="majorHAnsi" w:hAnsiTheme="majorHAnsi"/>
      <w:b/>
      <w:caps/>
      <w:sz w:val="28"/>
      <w:szCs w:val="28"/>
    </w:rPr>
  </w:style>
  <w:style w:type="paragraph" w:styleId="NoSpacing">
    <w:name w:val="No Spacing"/>
    <w:uiPriority w:val="1"/>
    <w:rsid w:val="004B3C2E"/>
    <w:pPr>
      <w:spacing w:after="0" w:line="240" w:lineRule="auto"/>
    </w:pPr>
    <w:rPr>
      <w:rFonts w:asciiTheme="majorHAnsi" w:hAnsiTheme="majorHAnsi"/>
      <w:sz w:val="24"/>
    </w:rPr>
  </w:style>
  <w:style w:type="character" w:customStyle="1" w:styleId="Style2HeadingChar">
    <w:name w:val="Style2Heading Char"/>
    <w:basedOn w:val="ListParagraphChar"/>
    <w:link w:val="Style2Heading"/>
    <w:rsid w:val="0090168F"/>
    <w:rPr>
      <w:rFonts w:asciiTheme="majorHAnsi" w:hAnsiTheme="majorHAnsi"/>
      <w:b/>
      <w:sz w:val="28"/>
      <w:szCs w:val="28"/>
    </w:rPr>
  </w:style>
  <w:style w:type="paragraph" w:customStyle="1" w:styleId="Style3Heading">
    <w:name w:val="Style3Heading"/>
    <w:basedOn w:val="Style2Heading"/>
    <w:link w:val="Style3HeadingChar"/>
    <w:qFormat/>
    <w:rsid w:val="007C589D"/>
    <w:pPr>
      <w:keepNext/>
      <w:spacing w:before="120" w:after="120"/>
    </w:pPr>
    <w:rPr>
      <w:sz w:val="24"/>
      <w:szCs w:val="24"/>
    </w:rPr>
  </w:style>
  <w:style w:type="character" w:customStyle="1" w:styleId="Style3HeadingChar">
    <w:name w:val="Style3Heading Char"/>
    <w:basedOn w:val="Style2HeadingChar"/>
    <w:link w:val="Style3Heading"/>
    <w:rsid w:val="007C589D"/>
    <w:rPr>
      <w:rFonts w:asciiTheme="majorHAnsi" w:hAnsiTheme="majorHAnsi"/>
      <w:b/>
      <w:sz w:val="24"/>
      <w:szCs w:val="24"/>
    </w:rPr>
  </w:style>
  <w:style w:type="character" w:customStyle="1" w:styleId="Heading3Char">
    <w:name w:val="Heading 3 Char"/>
    <w:basedOn w:val="DefaultParagraphFont"/>
    <w:link w:val="Heading3"/>
    <w:uiPriority w:val="9"/>
    <w:rsid w:val="00DE46DF"/>
    <w:rPr>
      <w:rFonts w:asciiTheme="majorHAnsi" w:hAnsiTheme="majorHAnsi"/>
      <w:b/>
      <w:sz w:val="24"/>
      <w:szCs w:val="24"/>
    </w:rPr>
  </w:style>
  <w:style w:type="paragraph" w:styleId="BodyText">
    <w:name w:val="Body Text"/>
    <w:basedOn w:val="Normal"/>
    <w:link w:val="BodyTextChar1"/>
    <w:qFormat/>
    <w:rsid w:val="00986E03"/>
    <w:pPr>
      <w:spacing w:after="120" w:line="240" w:lineRule="auto"/>
    </w:pPr>
    <w:rPr>
      <w:rFonts w:ascii="Palatino Linotype" w:eastAsia="Times New Roman" w:hAnsi="Palatino Linotype" w:cs="Times New Roman"/>
      <w:sz w:val="22"/>
    </w:rPr>
  </w:style>
  <w:style w:type="character" w:customStyle="1" w:styleId="BodyTextChar">
    <w:name w:val="Body Text Char"/>
    <w:basedOn w:val="DefaultParagraphFont"/>
    <w:uiPriority w:val="99"/>
    <w:semiHidden/>
    <w:rsid w:val="00986E03"/>
    <w:rPr>
      <w:rFonts w:asciiTheme="majorHAnsi" w:hAnsiTheme="majorHAnsi"/>
      <w:sz w:val="24"/>
    </w:rPr>
  </w:style>
  <w:style w:type="character" w:customStyle="1" w:styleId="BodyTextChar1">
    <w:name w:val="Body Text Char1"/>
    <w:link w:val="BodyText"/>
    <w:rsid w:val="00986E03"/>
    <w:rPr>
      <w:rFonts w:ascii="Palatino Linotype" w:eastAsia="Times New Roman" w:hAnsi="Palatino Linotype" w:cs="Times New Roman"/>
    </w:rPr>
  </w:style>
  <w:style w:type="paragraph" w:customStyle="1" w:styleId="TableText-405PROJECT">
    <w:name w:val="Table Text - 405 PROJECT"/>
    <w:basedOn w:val="Normal"/>
    <w:link w:val="TableText-405PROJECTChar"/>
    <w:rsid w:val="00885E8A"/>
    <w:pPr>
      <w:spacing w:before="60" w:after="60" w:line="240" w:lineRule="auto"/>
    </w:pPr>
    <w:rPr>
      <w:rFonts w:ascii="Arial Narrow" w:hAnsi="Arial Narrow"/>
      <w:sz w:val="20"/>
      <w:szCs w:val="20"/>
    </w:rPr>
  </w:style>
  <w:style w:type="character" w:customStyle="1" w:styleId="TableText-405PROJECTChar">
    <w:name w:val="Table Text - 405 PROJECT Char"/>
    <w:basedOn w:val="DefaultParagraphFont"/>
    <w:link w:val="TableText-405PROJECT"/>
    <w:rsid w:val="00885E8A"/>
    <w:rPr>
      <w:rFonts w:ascii="Arial Narrow" w:hAnsi="Arial Narrow"/>
      <w:sz w:val="20"/>
      <w:szCs w:val="20"/>
    </w:rPr>
  </w:style>
  <w:style w:type="paragraph" w:customStyle="1" w:styleId="TableHeaders-405PROJECT">
    <w:name w:val="Table Headers - 405 PROJECT"/>
    <w:basedOn w:val="TableText-405PROJECT"/>
    <w:rsid w:val="00885E8A"/>
    <w:pPr>
      <w:keepNext/>
      <w:keepLines/>
      <w:jc w:val="center"/>
    </w:pPr>
    <w:rPr>
      <w:b/>
    </w:rPr>
  </w:style>
  <w:style w:type="paragraph" w:customStyle="1" w:styleId="TableNotes-405PROJECT">
    <w:name w:val="Table Notes - 405 PROJECT"/>
    <w:basedOn w:val="TableText-405PROJECT"/>
    <w:rsid w:val="00885E8A"/>
    <w:rPr>
      <w:sz w:val="18"/>
      <w:szCs w:val="18"/>
    </w:rPr>
  </w:style>
  <w:style w:type="paragraph" w:customStyle="1" w:styleId="TableBodyBoldLeft">
    <w:name w:val="Table Body Bold Left"/>
    <w:basedOn w:val="Normal"/>
    <w:rsid w:val="00885E8A"/>
    <w:pPr>
      <w:spacing w:before="80" w:after="80" w:line="240" w:lineRule="auto"/>
      <w:ind w:left="70"/>
    </w:pPr>
    <w:rPr>
      <w:rFonts w:ascii="Arial Narrow" w:hAnsi="Arial Narrow"/>
      <w:b/>
      <w:sz w:val="20"/>
      <w:szCs w:val="18"/>
    </w:rPr>
  </w:style>
  <w:style w:type="paragraph" w:customStyle="1" w:styleId="TableBodyCenter">
    <w:name w:val="Table Body Center"/>
    <w:basedOn w:val="Normal"/>
    <w:rsid w:val="00885E8A"/>
    <w:pPr>
      <w:spacing w:before="80" w:after="80" w:line="240" w:lineRule="auto"/>
      <w:jc w:val="center"/>
    </w:pPr>
    <w:rPr>
      <w:rFonts w:ascii="Arial" w:eastAsia="Times New Roman" w:hAnsi="Arial" w:cs="Arial"/>
      <w:sz w:val="16"/>
      <w:szCs w:val="20"/>
    </w:rPr>
  </w:style>
  <w:style w:type="paragraph" w:customStyle="1" w:styleId="ExhibitTitle">
    <w:name w:val="Exhibit Title"/>
    <w:basedOn w:val="Normal"/>
    <w:link w:val="ExhibitTitleChar"/>
    <w:qFormat/>
    <w:rsid w:val="008B1DFE"/>
    <w:pPr>
      <w:keepNext/>
    </w:pPr>
    <w:rPr>
      <w:b/>
    </w:rPr>
  </w:style>
  <w:style w:type="character" w:styleId="Hyperlink">
    <w:name w:val="Hyperlink"/>
    <w:basedOn w:val="DefaultParagraphFont"/>
    <w:uiPriority w:val="99"/>
    <w:unhideWhenUsed/>
    <w:rsid w:val="00885E8A"/>
    <w:rPr>
      <w:color w:val="0000FF" w:themeColor="hyperlink"/>
      <w:u w:val="single"/>
    </w:rPr>
  </w:style>
  <w:style w:type="character" w:customStyle="1" w:styleId="ExhibitTitleChar">
    <w:name w:val="Exhibit Title Char"/>
    <w:basedOn w:val="DefaultParagraphFont"/>
    <w:link w:val="ExhibitTitle"/>
    <w:rsid w:val="008B1DFE"/>
    <w:rPr>
      <w:rFonts w:asciiTheme="majorHAnsi" w:hAnsiTheme="majorHAnsi"/>
      <w:b/>
      <w:sz w:val="24"/>
    </w:rPr>
  </w:style>
  <w:style w:type="paragraph" w:styleId="FootnoteText">
    <w:name w:val="footnote text"/>
    <w:basedOn w:val="Normal"/>
    <w:link w:val="FootnoteTextChar"/>
    <w:uiPriority w:val="99"/>
    <w:unhideWhenUsed/>
    <w:rsid w:val="00885E8A"/>
    <w:pPr>
      <w:spacing w:line="240" w:lineRule="auto"/>
    </w:pPr>
    <w:rPr>
      <w:sz w:val="20"/>
      <w:szCs w:val="20"/>
    </w:rPr>
  </w:style>
  <w:style w:type="character" w:customStyle="1" w:styleId="FootnoteTextChar">
    <w:name w:val="Footnote Text Char"/>
    <w:basedOn w:val="DefaultParagraphFont"/>
    <w:link w:val="FootnoteText"/>
    <w:uiPriority w:val="99"/>
    <w:rsid w:val="00885E8A"/>
    <w:rPr>
      <w:rFonts w:asciiTheme="majorHAnsi" w:hAnsiTheme="majorHAnsi"/>
      <w:sz w:val="20"/>
      <w:szCs w:val="20"/>
    </w:rPr>
  </w:style>
  <w:style w:type="character" w:styleId="FootnoteReference">
    <w:name w:val="footnote reference"/>
    <w:basedOn w:val="DefaultParagraphFont"/>
    <w:uiPriority w:val="99"/>
    <w:semiHidden/>
    <w:unhideWhenUsed/>
    <w:rsid w:val="00885E8A"/>
    <w:rPr>
      <w:vertAlign w:val="superscript"/>
    </w:rPr>
  </w:style>
  <w:style w:type="paragraph" w:customStyle="1" w:styleId="ExhibitTitle-405PROJECT">
    <w:name w:val="Exhibit Title - 405 PROJECT"/>
    <w:basedOn w:val="Normal"/>
    <w:qFormat/>
    <w:rsid w:val="00AC2561"/>
    <w:pPr>
      <w:keepNext/>
      <w:spacing w:before="240" w:after="120" w:line="240" w:lineRule="auto"/>
    </w:pPr>
    <w:rPr>
      <w:rFonts w:ascii="Arial Narrow" w:eastAsia="Times New Roman" w:hAnsi="Arial Narrow" w:cs="Times New Roman"/>
      <w:b/>
      <w:i/>
      <w:sz w:val="20"/>
      <w:szCs w:val="20"/>
    </w:rPr>
  </w:style>
  <w:style w:type="paragraph" w:customStyle="1" w:styleId="References-405PROJECT">
    <w:name w:val="References - 405 PROJECT"/>
    <w:qFormat/>
    <w:rsid w:val="00FD7B18"/>
    <w:pPr>
      <w:spacing w:after="120" w:line="240" w:lineRule="auto"/>
      <w:ind w:left="720" w:hanging="720"/>
    </w:pPr>
    <w:rPr>
      <w:rFonts w:ascii="Palatino Linotype" w:hAnsi="Palatino Linotype"/>
    </w:rPr>
  </w:style>
  <w:style w:type="paragraph" w:styleId="TOCHeading">
    <w:name w:val="TOC Heading"/>
    <w:basedOn w:val="Heading1"/>
    <w:next w:val="Normal"/>
    <w:uiPriority w:val="39"/>
    <w:unhideWhenUsed/>
    <w:qFormat/>
    <w:rsid w:val="00B44969"/>
    <w:pPr>
      <w:spacing w:line="259" w:lineRule="auto"/>
      <w:outlineLvl w:val="9"/>
    </w:pPr>
    <w:rPr>
      <w:b w:val="0"/>
      <w:bCs/>
      <w:color w:val="365F91" w:themeColor="accent1" w:themeShade="BF"/>
      <w:sz w:val="32"/>
      <w:szCs w:val="32"/>
    </w:rPr>
  </w:style>
  <w:style w:type="paragraph" w:styleId="TOC1">
    <w:name w:val="toc 1"/>
    <w:basedOn w:val="Normal"/>
    <w:next w:val="Normal"/>
    <w:autoRedefine/>
    <w:uiPriority w:val="39"/>
    <w:unhideWhenUsed/>
    <w:rsid w:val="00B44969"/>
    <w:pPr>
      <w:spacing w:after="100"/>
    </w:pPr>
  </w:style>
  <w:style w:type="paragraph" w:styleId="TOC2">
    <w:name w:val="toc 2"/>
    <w:basedOn w:val="Normal"/>
    <w:next w:val="Normal"/>
    <w:autoRedefine/>
    <w:uiPriority w:val="39"/>
    <w:unhideWhenUsed/>
    <w:rsid w:val="00B44969"/>
    <w:pPr>
      <w:spacing w:after="100"/>
      <w:ind w:left="240"/>
    </w:pPr>
  </w:style>
  <w:style w:type="paragraph" w:styleId="TOC3">
    <w:name w:val="toc 3"/>
    <w:basedOn w:val="Normal"/>
    <w:next w:val="Normal"/>
    <w:autoRedefine/>
    <w:uiPriority w:val="39"/>
    <w:unhideWhenUsed/>
    <w:rsid w:val="00B44969"/>
    <w:pPr>
      <w:spacing w:after="100"/>
      <w:ind w:left="480"/>
    </w:pPr>
  </w:style>
  <w:style w:type="paragraph" w:styleId="BalloonText">
    <w:name w:val="Balloon Text"/>
    <w:basedOn w:val="Normal"/>
    <w:link w:val="BalloonTextChar"/>
    <w:uiPriority w:val="99"/>
    <w:semiHidden/>
    <w:unhideWhenUsed/>
    <w:rsid w:val="00D270B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70BF"/>
    <w:rPr>
      <w:rFonts w:ascii="Segoe UI" w:hAnsi="Segoe UI" w:cs="Segoe UI"/>
      <w:sz w:val="18"/>
      <w:szCs w:val="18"/>
    </w:rPr>
  </w:style>
  <w:style w:type="paragraph" w:customStyle="1" w:styleId="Style4Heading">
    <w:name w:val="Style4Heading"/>
    <w:basedOn w:val="Style3Heading"/>
    <w:link w:val="Style4HeadingChar"/>
    <w:rsid w:val="0090168F"/>
    <w:rPr>
      <w:i/>
    </w:rPr>
  </w:style>
  <w:style w:type="character" w:styleId="FollowedHyperlink">
    <w:name w:val="FollowedHyperlink"/>
    <w:basedOn w:val="DefaultParagraphFont"/>
    <w:uiPriority w:val="99"/>
    <w:semiHidden/>
    <w:unhideWhenUsed/>
    <w:rsid w:val="00EB55A9"/>
    <w:rPr>
      <w:color w:val="800080" w:themeColor="followedHyperlink"/>
      <w:u w:val="single"/>
    </w:rPr>
  </w:style>
  <w:style w:type="character" w:customStyle="1" w:styleId="Style4HeadingChar">
    <w:name w:val="Style4Heading Char"/>
    <w:basedOn w:val="Style3HeadingChar"/>
    <w:link w:val="Style4Heading"/>
    <w:rsid w:val="0090168F"/>
    <w:rPr>
      <w:rFonts w:asciiTheme="majorHAnsi" w:hAnsiTheme="majorHAnsi"/>
      <w:b/>
      <w:i/>
      <w:sz w:val="24"/>
      <w:szCs w:val="24"/>
    </w:rPr>
  </w:style>
  <w:style w:type="paragraph" w:customStyle="1" w:styleId="TableHead">
    <w:name w:val="Table Head"/>
    <w:basedOn w:val="Normal"/>
    <w:rsid w:val="0064258F"/>
    <w:pPr>
      <w:keepNext/>
      <w:spacing w:before="60" w:after="60" w:line="240" w:lineRule="auto"/>
    </w:pPr>
    <w:rPr>
      <w:rFonts w:ascii="Calibri Light" w:eastAsia="Times New Roman" w:hAnsi="Calibri Light" w:cs="Arial"/>
      <w:sz w:val="18"/>
      <w:szCs w:val="20"/>
    </w:rPr>
  </w:style>
  <w:style w:type="paragraph" w:customStyle="1" w:styleId="Bullet">
    <w:name w:val="Bullet"/>
    <w:basedOn w:val="BodyText"/>
    <w:rsid w:val="00091086"/>
    <w:pPr>
      <w:numPr>
        <w:numId w:val="4"/>
      </w:numPr>
      <w:spacing w:after="160" w:line="264" w:lineRule="auto"/>
    </w:pPr>
    <w:rPr>
      <w:rFonts w:ascii="Times New Roman" w:hAnsi="Times New Roman"/>
      <w:sz w:val="24"/>
      <w:szCs w:val="20"/>
    </w:rPr>
  </w:style>
  <w:style w:type="paragraph" w:styleId="NormalWeb">
    <w:name w:val="Normal (Web)"/>
    <w:basedOn w:val="Normal"/>
    <w:uiPriority w:val="99"/>
    <w:unhideWhenUsed/>
    <w:rsid w:val="005E5F62"/>
    <w:pPr>
      <w:spacing w:before="100" w:beforeAutospacing="1" w:after="100" w:afterAutospacing="1" w:line="240" w:lineRule="auto"/>
    </w:pPr>
    <w:rPr>
      <w:rFonts w:ascii="Times New Roman" w:eastAsia="Times New Roman" w:hAnsi="Times New Roman" w:cs="Times New Roman"/>
      <w:szCs w:val="24"/>
    </w:rPr>
  </w:style>
  <w:style w:type="character" w:styleId="CommentReference">
    <w:name w:val="annotation reference"/>
    <w:basedOn w:val="DefaultParagraphFont"/>
    <w:uiPriority w:val="99"/>
    <w:semiHidden/>
    <w:unhideWhenUsed/>
    <w:rsid w:val="00DA265F"/>
    <w:rPr>
      <w:sz w:val="16"/>
      <w:szCs w:val="16"/>
    </w:rPr>
  </w:style>
  <w:style w:type="paragraph" w:styleId="CommentText">
    <w:name w:val="annotation text"/>
    <w:basedOn w:val="Normal"/>
    <w:link w:val="CommentTextChar"/>
    <w:uiPriority w:val="99"/>
    <w:semiHidden/>
    <w:unhideWhenUsed/>
    <w:rsid w:val="00DA265F"/>
    <w:pPr>
      <w:spacing w:line="240" w:lineRule="auto"/>
    </w:pPr>
    <w:rPr>
      <w:sz w:val="20"/>
      <w:szCs w:val="20"/>
    </w:rPr>
  </w:style>
  <w:style w:type="character" w:customStyle="1" w:styleId="CommentTextChar">
    <w:name w:val="Comment Text Char"/>
    <w:basedOn w:val="DefaultParagraphFont"/>
    <w:link w:val="CommentText"/>
    <w:uiPriority w:val="99"/>
    <w:semiHidden/>
    <w:rsid w:val="00DA265F"/>
    <w:rPr>
      <w:rFonts w:asciiTheme="majorHAnsi" w:hAnsiTheme="majorHAnsi"/>
      <w:sz w:val="20"/>
      <w:szCs w:val="20"/>
    </w:rPr>
  </w:style>
  <w:style w:type="paragraph" w:customStyle="1" w:styleId="TableNotes">
    <w:name w:val="Table Notes"/>
    <w:basedOn w:val="Normal"/>
    <w:rsid w:val="0052046F"/>
    <w:pPr>
      <w:spacing w:before="80" w:after="240" w:line="240" w:lineRule="auto"/>
      <w:contextualSpacing/>
    </w:pPr>
    <w:rPr>
      <w:rFonts w:ascii="Calibri" w:eastAsia="Times New Roman" w:hAnsi="Calibri" w:cs="Times New Roman"/>
      <w:sz w:val="16"/>
      <w:szCs w:val="18"/>
    </w:rPr>
  </w:style>
  <w:style w:type="paragraph" w:styleId="ListBullet">
    <w:name w:val="List Bullet"/>
    <w:basedOn w:val="ListParagraph"/>
    <w:link w:val="ListBulletChar"/>
    <w:qFormat/>
    <w:rsid w:val="00541313"/>
    <w:pPr>
      <w:numPr>
        <w:ilvl w:val="0"/>
        <w:numId w:val="2"/>
      </w:numPr>
      <w:spacing w:before="120" w:after="120"/>
      <w:contextualSpacing w:val="0"/>
    </w:pPr>
  </w:style>
  <w:style w:type="character" w:styleId="Emphasis">
    <w:name w:val="Emphasis"/>
    <w:basedOn w:val="DefaultParagraphFont"/>
    <w:qFormat/>
    <w:rsid w:val="0052046F"/>
    <w:rPr>
      <w:i/>
      <w:iCs/>
    </w:rPr>
  </w:style>
  <w:style w:type="paragraph" w:styleId="CommentSubject">
    <w:name w:val="annotation subject"/>
    <w:basedOn w:val="CommentText"/>
    <w:next w:val="CommentText"/>
    <w:link w:val="CommentSubjectChar"/>
    <w:uiPriority w:val="99"/>
    <w:semiHidden/>
    <w:unhideWhenUsed/>
    <w:rsid w:val="007523DC"/>
    <w:rPr>
      <w:b/>
      <w:bCs/>
    </w:rPr>
  </w:style>
  <w:style w:type="character" w:customStyle="1" w:styleId="CommentSubjectChar">
    <w:name w:val="Comment Subject Char"/>
    <w:basedOn w:val="CommentTextChar"/>
    <w:link w:val="CommentSubject"/>
    <w:uiPriority w:val="99"/>
    <w:semiHidden/>
    <w:rsid w:val="007523DC"/>
    <w:rPr>
      <w:rFonts w:asciiTheme="majorHAnsi" w:hAnsiTheme="majorHAnsi"/>
      <w:b/>
      <w:bCs/>
      <w:sz w:val="20"/>
      <w:szCs w:val="20"/>
    </w:rPr>
  </w:style>
  <w:style w:type="character" w:customStyle="1" w:styleId="Heading4Char">
    <w:name w:val="Heading 4 Char"/>
    <w:basedOn w:val="DefaultParagraphFont"/>
    <w:link w:val="Heading4"/>
    <w:uiPriority w:val="9"/>
    <w:rsid w:val="00C230BA"/>
    <w:rPr>
      <w:rFonts w:asciiTheme="majorHAnsi" w:hAnsiTheme="majorHAnsi"/>
      <w:b/>
      <w:sz w:val="24"/>
      <w:szCs w:val="24"/>
    </w:rPr>
  </w:style>
  <w:style w:type="character" w:styleId="Strong">
    <w:name w:val="Strong"/>
    <w:basedOn w:val="DefaultParagraphFont"/>
    <w:uiPriority w:val="22"/>
    <w:rsid w:val="003855F2"/>
    <w:rPr>
      <w:b/>
      <w:bCs/>
    </w:rPr>
  </w:style>
  <w:style w:type="paragraph" w:customStyle="1" w:styleId="clear">
    <w:name w:val="clear"/>
    <w:basedOn w:val="Normal"/>
    <w:rsid w:val="003855F2"/>
    <w:pPr>
      <w:spacing w:before="100" w:beforeAutospacing="1" w:after="100" w:afterAutospacing="1" w:line="240" w:lineRule="auto"/>
    </w:pPr>
    <w:rPr>
      <w:rFonts w:ascii="Times New Roman" w:eastAsia="Times New Roman" w:hAnsi="Times New Roman" w:cs="Times New Roman"/>
      <w:szCs w:val="24"/>
    </w:rPr>
  </w:style>
  <w:style w:type="paragraph" w:customStyle="1" w:styleId="Appendix">
    <w:name w:val="Appendix"/>
    <w:basedOn w:val="Style1Heading"/>
    <w:link w:val="AppendixChar"/>
    <w:rsid w:val="00ED4EDD"/>
  </w:style>
  <w:style w:type="character" w:customStyle="1" w:styleId="AppendixChar">
    <w:name w:val="Appendix Char"/>
    <w:basedOn w:val="Style1HeadingChar"/>
    <w:link w:val="Appendix"/>
    <w:rsid w:val="00ED4EDD"/>
    <w:rPr>
      <w:rFonts w:asciiTheme="majorHAnsi" w:hAnsiTheme="majorHAnsi"/>
      <w:b/>
      <w:caps/>
      <w:sz w:val="28"/>
      <w:szCs w:val="28"/>
    </w:rPr>
  </w:style>
  <w:style w:type="character" w:customStyle="1" w:styleId="Heading5Char">
    <w:name w:val="Heading 5 Char"/>
    <w:basedOn w:val="DefaultParagraphFont"/>
    <w:link w:val="Heading5"/>
    <w:uiPriority w:val="9"/>
    <w:rsid w:val="006B3B15"/>
    <w:rPr>
      <w:rFonts w:asciiTheme="majorHAnsi" w:hAnsiTheme="majorHAnsi"/>
      <w:b/>
      <w:color w:val="000000"/>
      <w:sz w:val="24"/>
    </w:rPr>
  </w:style>
  <w:style w:type="paragraph" w:styleId="Caption">
    <w:name w:val="caption"/>
    <w:basedOn w:val="Normal"/>
    <w:next w:val="Normal"/>
    <w:link w:val="CaptionChar"/>
    <w:rsid w:val="00D660DF"/>
    <w:pPr>
      <w:keepNext/>
      <w:keepLines/>
      <w:spacing w:before="240" w:after="60" w:line="240" w:lineRule="auto"/>
    </w:pPr>
    <w:rPr>
      <w:rFonts w:asciiTheme="minorHAnsi" w:hAnsiTheme="minorHAnsi" w:cs="Times New Roman"/>
      <w:b/>
      <w:sz w:val="20"/>
      <w:szCs w:val="20"/>
    </w:rPr>
  </w:style>
  <w:style w:type="character" w:customStyle="1" w:styleId="CaptionChar">
    <w:name w:val="Caption Char"/>
    <w:link w:val="Caption"/>
    <w:rsid w:val="00D660DF"/>
    <w:rPr>
      <w:rFonts w:cs="Times New Roman"/>
      <w:b/>
      <w:sz w:val="20"/>
      <w:szCs w:val="20"/>
    </w:rPr>
  </w:style>
  <w:style w:type="paragraph" w:customStyle="1" w:styleId="footnote">
    <w:name w:val="footnote"/>
    <w:basedOn w:val="Normal"/>
    <w:link w:val="footnoteChar"/>
    <w:qFormat/>
    <w:rsid w:val="007155DC"/>
    <w:rPr>
      <w:sz w:val="20"/>
      <w:szCs w:val="20"/>
    </w:rPr>
  </w:style>
  <w:style w:type="paragraph" w:customStyle="1" w:styleId="FootnoteRev">
    <w:name w:val="Footnote Rev"/>
    <w:basedOn w:val="Normal"/>
    <w:link w:val="FootnoteRevChar"/>
    <w:qFormat/>
    <w:rsid w:val="007155DC"/>
    <w:rPr>
      <w:vertAlign w:val="superscript"/>
    </w:rPr>
  </w:style>
  <w:style w:type="character" w:customStyle="1" w:styleId="footnoteChar">
    <w:name w:val="footnote Char"/>
    <w:basedOn w:val="DefaultParagraphFont"/>
    <w:link w:val="footnote"/>
    <w:rsid w:val="007155DC"/>
    <w:rPr>
      <w:rFonts w:asciiTheme="majorHAnsi" w:hAnsiTheme="majorHAnsi"/>
      <w:sz w:val="20"/>
      <w:szCs w:val="20"/>
    </w:rPr>
  </w:style>
  <w:style w:type="character" w:customStyle="1" w:styleId="FootnoteRevChar">
    <w:name w:val="Footnote Rev Char"/>
    <w:basedOn w:val="DefaultParagraphFont"/>
    <w:link w:val="FootnoteRev"/>
    <w:rsid w:val="007155DC"/>
    <w:rPr>
      <w:rFonts w:asciiTheme="majorHAnsi" w:hAnsiTheme="majorHAnsi"/>
      <w:sz w:val="24"/>
      <w:vertAlign w:val="superscript"/>
    </w:rPr>
  </w:style>
  <w:style w:type="paragraph" w:customStyle="1" w:styleId="NumList">
    <w:name w:val="Num List"/>
    <w:basedOn w:val="ListBullet"/>
    <w:link w:val="NumListChar"/>
    <w:qFormat/>
    <w:rsid w:val="00541313"/>
  </w:style>
  <w:style w:type="character" w:customStyle="1" w:styleId="ListBulletChar">
    <w:name w:val="List Bullet Char"/>
    <w:basedOn w:val="ListParagraphChar"/>
    <w:link w:val="ListBullet"/>
    <w:rsid w:val="00541313"/>
    <w:rPr>
      <w:rFonts w:asciiTheme="majorHAnsi" w:hAnsiTheme="majorHAnsi"/>
      <w:sz w:val="24"/>
    </w:rPr>
  </w:style>
  <w:style w:type="character" w:customStyle="1" w:styleId="NumListChar">
    <w:name w:val="Num List Char"/>
    <w:basedOn w:val="ListBulletChar"/>
    <w:link w:val="NumList"/>
    <w:rsid w:val="00541313"/>
    <w:rPr>
      <w:rFonts w:asciiTheme="majorHAnsi" w:hAnsiTheme="majorHAnsi"/>
      <w:sz w:val="24"/>
    </w:rPr>
  </w:style>
  <w:style w:type="paragraph" w:customStyle="1" w:styleId="Tick">
    <w:name w:val="Tick"/>
    <w:basedOn w:val="BodyText"/>
    <w:next w:val="BodyText"/>
    <w:semiHidden/>
    <w:qFormat/>
    <w:rsid w:val="007D11A5"/>
    <w:pPr>
      <w:numPr>
        <w:numId w:val="32"/>
      </w:numPr>
      <w:spacing w:line="276" w:lineRule="auto"/>
      <w:ind w:left="720"/>
      <w:contextualSpacing/>
    </w:pPr>
    <w:rPr>
      <w:rFonts w:ascii="Calibri" w:hAnsi="Calibri"/>
      <w:szCs w:val="20"/>
    </w:rPr>
  </w:style>
  <w:style w:type="paragraph" w:customStyle="1" w:styleId="Reference">
    <w:name w:val="Reference"/>
    <w:qFormat/>
    <w:rsid w:val="007D11A5"/>
    <w:pPr>
      <w:overflowPunct w:val="0"/>
      <w:autoSpaceDE w:val="0"/>
      <w:autoSpaceDN w:val="0"/>
      <w:adjustRightInd w:val="0"/>
      <w:spacing w:line="240" w:lineRule="auto"/>
      <w:ind w:left="360" w:hanging="360"/>
      <w:textAlignment w:val="baseline"/>
    </w:pPr>
    <w:rPr>
      <w:rFonts w:ascii="Calibri" w:eastAsia="Times New Roman" w:hAnsi="Calibri" w:cstheme="minorHAnsi"/>
      <w:color w:val="000000"/>
    </w:rPr>
  </w:style>
  <w:style w:type="paragraph" w:customStyle="1" w:styleId="TableTitle">
    <w:name w:val="Table Title"/>
    <w:basedOn w:val="Normal"/>
    <w:link w:val="TableTitleChar"/>
    <w:rsid w:val="00B73A46"/>
    <w:pPr>
      <w:keepNext/>
    </w:pPr>
    <w:rPr>
      <w:b/>
    </w:rPr>
  </w:style>
  <w:style w:type="character" w:customStyle="1" w:styleId="TableTitleChar">
    <w:name w:val="Table Title Char"/>
    <w:basedOn w:val="DefaultParagraphFont"/>
    <w:link w:val="TableTitle"/>
    <w:rsid w:val="00B73A46"/>
    <w:rPr>
      <w:rFonts w:asciiTheme="majorHAnsi" w:hAnsiTheme="majorHAnsi"/>
      <w:b/>
      <w:sz w:val="24"/>
    </w:rPr>
  </w:style>
  <w:style w:type="paragraph" w:customStyle="1" w:styleId="Sectionpagebreak">
    <w:name w:val="Section / page break"/>
    <w:basedOn w:val="Normal"/>
    <w:rsid w:val="00C20A08"/>
    <w:pPr>
      <w:spacing w:line="360" w:lineRule="auto"/>
      <w:ind w:right="360"/>
    </w:pPr>
    <w:rPr>
      <w:rFonts w:asciiTheme="minorHAnsi" w:eastAsia="Times New Roman" w:hAnsiTheme="minorHAnsi" w:cs="Times New Roman"/>
      <w:sz w:val="16"/>
      <w:szCs w:val="16"/>
    </w:rPr>
  </w:style>
  <w:style w:type="character" w:styleId="LineNumber">
    <w:name w:val="line number"/>
    <w:basedOn w:val="DefaultParagraphFont"/>
    <w:uiPriority w:val="99"/>
    <w:semiHidden/>
    <w:unhideWhenUsed/>
    <w:rsid w:val="00C20A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8344">
      <w:bodyDiv w:val="1"/>
      <w:marLeft w:val="0"/>
      <w:marRight w:val="0"/>
      <w:marTop w:val="0"/>
      <w:marBottom w:val="0"/>
      <w:divBdr>
        <w:top w:val="none" w:sz="0" w:space="0" w:color="auto"/>
        <w:left w:val="none" w:sz="0" w:space="0" w:color="auto"/>
        <w:bottom w:val="none" w:sz="0" w:space="0" w:color="auto"/>
        <w:right w:val="none" w:sz="0" w:space="0" w:color="auto"/>
      </w:divBdr>
    </w:div>
    <w:div w:id="161968637">
      <w:bodyDiv w:val="1"/>
      <w:marLeft w:val="0"/>
      <w:marRight w:val="0"/>
      <w:marTop w:val="0"/>
      <w:marBottom w:val="0"/>
      <w:divBdr>
        <w:top w:val="none" w:sz="0" w:space="0" w:color="auto"/>
        <w:left w:val="none" w:sz="0" w:space="0" w:color="auto"/>
        <w:bottom w:val="none" w:sz="0" w:space="0" w:color="auto"/>
        <w:right w:val="none" w:sz="0" w:space="0" w:color="auto"/>
      </w:divBdr>
    </w:div>
    <w:div w:id="214053437">
      <w:bodyDiv w:val="1"/>
      <w:marLeft w:val="0"/>
      <w:marRight w:val="0"/>
      <w:marTop w:val="0"/>
      <w:marBottom w:val="0"/>
      <w:divBdr>
        <w:top w:val="none" w:sz="0" w:space="0" w:color="auto"/>
        <w:left w:val="none" w:sz="0" w:space="0" w:color="auto"/>
        <w:bottom w:val="none" w:sz="0" w:space="0" w:color="auto"/>
        <w:right w:val="none" w:sz="0" w:space="0" w:color="auto"/>
      </w:divBdr>
    </w:div>
    <w:div w:id="291786976">
      <w:bodyDiv w:val="1"/>
      <w:marLeft w:val="0"/>
      <w:marRight w:val="0"/>
      <w:marTop w:val="0"/>
      <w:marBottom w:val="0"/>
      <w:divBdr>
        <w:top w:val="none" w:sz="0" w:space="0" w:color="auto"/>
        <w:left w:val="none" w:sz="0" w:space="0" w:color="auto"/>
        <w:bottom w:val="none" w:sz="0" w:space="0" w:color="auto"/>
        <w:right w:val="none" w:sz="0" w:space="0" w:color="auto"/>
      </w:divBdr>
    </w:div>
    <w:div w:id="386955143">
      <w:bodyDiv w:val="1"/>
      <w:marLeft w:val="0"/>
      <w:marRight w:val="0"/>
      <w:marTop w:val="0"/>
      <w:marBottom w:val="0"/>
      <w:divBdr>
        <w:top w:val="none" w:sz="0" w:space="0" w:color="auto"/>
        <w:left w:val="none" w:sz="0" w:space="0" w:color="auto"/>
        <w:bottom w:val="none" w:sz="0" w:space="0" w:color="auto"/>
        <w:right w:val="none" w:sz="0" w:space="0" w:color="auto"/>
      </w:divBdr>
    </w:div>
    <w:div w:id="475605383">
      <w:bodyDiv w:val="1"/>
      <w:marLeft w:val="0"/>
      <w:marRight w:val="0"/>
      <w:marTop w:val="0"/>
      <w:marBottom w:val="0"/>
      <w:divBdr>
        <w:top w:val="none" w:sz="0" w:space="0" w:color="auto"/>
        <w:left w:val="none" w:sz="0" w:space="0" w:color="auto"/>
        <w:bottom w:val="none" w:sz="0" w:space="0" w:color="auto"/>
        <w:right w:val="none" w:sz="0" w:space="0" w:color="auto"/>
      </w:divBdr>
    </w:div>
    <w:div w:id="499391539">
      <w:bodyDiv w:val="1"/>
      <w:marLeft w:val="0"/>
      <w:marRight w:val="0"/>
      <w:marTop w:val="0"/>
      <w:marBottom w:val="0"/>
      <w:divBdr>
        <w:top w:val="none" w:sz="0" w:space="0" w:color="auto"/>
        <w:left w:val="none" w:sz="0" w:space="0" w:color="auto"/>
        <w:bottom w:val="none" w:sz="0" w:space="0" w:color="auto"/>
        <w:right w:val="none" w:sz="0" w:space="0" w:color="auto"/>
      </w:divBdr>
    </w:div>
    <w:div w:id="500314719">
      <w:bodyDiv w:val="1"/>
      <w:marLeft w:val="0"/>
      <w:marRight w:val="0"/>
      <w:marTop w:val="0"/>
      <w:marBottom w:val="0"/>
      <w:divBdr>
        <w:top w:val="none" w:sz="0" w:space="0" w:color="auto"/>
        <w:left w:val="none" w:sz="0" w:space="0" w:color="auto"/>
        <w:bottom w:val="none" w:sz="0" w:space="0" w:color="auto"/>
        <w:right w:val="none" w:sz="0" w:space="0" w:color="auto"/>
      </w:divBdr>
    </w:div>
    <w:div w:id="548733323">
      <w:bodyDiv w:val="1"/>
      <w:marLeft w:val="0"/>
      <w:marRight w:val="0"/>
      <w:marTop w:val="0"/>
      <w:marBottom w:val="0"/>
      <w:divBdr>
        <w:top w:val="none" w:sz="0" w:space="0" w:color="auto"/>
        <w:left w:val="none" w:sz="0" w:space="0" w:color="auto"/>
        <w:bottom w:val="none" w:sz="0" w:space="0" w:color="auto"/>
        <w:right w:val="none" w:sz="0" w:space="0" w:color="auto"/>
      </w:divBdr>
    </w:div>
    <w:div w:id="576474216">
      <w:bodyDiv w:val="1"/>
      <w:marLeft w:val="0"/>
      <w:marRight w:val="0"/>
      <w:marTop w:val="0"/>
      <w:marBottom w:val="0"/>
      <w:divBdr>
        <w:top w:val="none" w:sz="0" w:space="0" w:color="auto"/>
        <w:left w:val="none" w:sz="0" w:space="0" w:color="auto"/>
        <w:bottom w:val="none" w:sz="0" w:space="0" w:color="auto"/>
        <w:right w:val="none" w:sz="0" w:space="0" w:color="auto"/>
      </w:divBdr>
    </w:div>
    <w:div w:id="690230596">
      <w:bodyDiv w:val="1"/>
      <w:marLeft w:val="0"/>
      <w:marRight w:val="0"/>
      <w:marTop w:val="0"/>
      <w:marBottom w:val="0"/>
      <w:divBdr>
        <w:top w:val="none" w:sz="0" w:space="0" w:color="auto"/>
        <w:left w:val="none" w:sz="0" w:space="0" w:color="auto"/>
        <w:bottom w:val="none" w:sz="0" w:space="0" w:color="auto"/>
        <w:right w:val="none" w:sz="0" w:space="0" w:color="auto"/>
      </w:divBdr>
    </w:div>
    <w:div w:id="730735923">
      <w:bodyDiv w:val="1"/>
      <w:marLeft w:val="0"/>
      <w:marRight w:val="0"/>
      <w:marTop w:val="0"/>
      <w:marBottom w:val="0"/>
      <w:divBdr>
        <w:top w:val="none" w:sz="0" w:space="0" w:color="auto"/>
        <w:left w:val="none" w:sz="0" w:space="0" w:color="auto"/>
        <w:bottom w:val="none" w:sz="0" w:space="0" w:color="auto"/>
        <w:right w:val="none" w:sz="0" w:space="0" w:color="auto"/>
      </w:divBdr>
    </w:div>
    <w:div w:id="752820927">
      <w:bodyDiv w:val="1"/>
      <w:marLeft w:val="0"/>
      <w:marRight w:val="0"/>
      <w:marTop w:val="0"/>
      <w:marBottom w:val="0"/>
      <w:divBdr>
        <w:top w:val="none" w:sz="0" w:space="0" w:color="auto"/>
        <w:left w:val="none" w:sz="0" w:space="0" w:color="auto"/>
        <w:bottom w:val="none" w:sz="0" w:space="0" w:color="auto"/>
        <w:right w:val="none" w:sz="0" w:space="0" w:color="auto"/>
      </w:divBdr>
    </w:div>
    <w:div w:id="768087562">
      <w:bodyDiv w:val="1"/>
      <w:marLeft w:val="0"/>
      <w:marRight w:val="0"/>
      <w:marTop w:val="0"/>
      <w:marBottom w:val="0"/>
      <w:divBdr>
        <w:top w:val="none" w:sz="0" w:space="0" w:color="auto"/>
        <w:left w:val="none" w:sz="0" w:space="0" w:color="auto"/>
        <w:bottom w:val="none" w:sz="0" w:space="0" w:color="auto"/>
        <w:right w:val="none" w:sz="0" w:space="0" w:color="auto"/>
      </w:divBdr>
    </w:div>
    <w:div w:id="886915306">
      <w:bodyDiv w:val="1"/>
      <w:marLeft w:val="0"/>
      <w:marRight w:val="0"/>
      <w:marTop w:val="0"/>
      <w:marBottom w:val="0"/>
      <w:divBdr>
        <w:top w:val="none" w:sz="0" w:space="0" w:color="auto"/>
        <w:left w:val="none" w:sz="0" w:space="0" w:color="auto"/>
        <w:bottom w:val="none" w:sz="0" w:space="0" w:color="auto"/>
        <w:right w:val="none" w:sz="0" w:space="0" w:color="auto"/>
      </w:divBdr>
    </w:div>
    <w:div w:id="1206144036">
      <w:bodyDiv w:val="1"/>
      <w:marLeft w:val="0"/>
      <w:marRight w:val="0"/>
      <w:marTop w:val="0"/>
      <w:marBottom w:val="0"/>
      <w:divBdr>
        <w:top w:val="none" w:sz="0" w:space="0" w:color="auto"/>
        <w:left w:val="none" w:sz="0" w:space="0" w:color="auto"/>
        <w:bottom w:val="none" w:sz="0" w:space="0" w:color="auto"/>
        <w:right w:val="none" w:sz="0" w:space="0" w:color="auto"/>
      </w:divBdr>
    </w:div>
    <w:div w:id="1222789604">
      <w:bodyDiv w:val="1"/>
      <w:marLeft w:val="0"/>
      <w:marRight w:val="0"/>
      <w:marTop w:val="0"/>
      <w:marBottom w:val="0"/>
      <w:divBdr>
        <w:top w:val="none" w:sz="0" w:space="0" w:color="auto"/>
        <w:left w:val="none" w:sz="0" w:space="0" w:color="auto"/>
        <w:bottom w:val="none" w:sz="0" w:space="0" w:color="auto"/>
        <w:right w:val="none" w:sz="0" w:space="0" w:color="auto"/>
      </w:divBdr>
    </w:div>
    <w:div w:id="1762801246">
      <w:bodyDiv w:val="1"/>
      <w:marLeft w:val="0"/>
      <w:marRight w:val="0"/>
      <w:marTop w:val="0"/>
      <w:marBottom w:val="0"/>
      <w:divBdr>
        <w:top w:val="none" w:sz="0" w:space="0" w:color="auto"/>
        <w:left w:val="none" w:sz="0" w:space="0" w:color="auto"/>
        <w:bottom w:val="none" w:sz="0" w:space="0" w:color="auto"/>
        <w:right w:val="none" w:sz="0" w:space="0" w:color="auto"/>
      </w:divBdr>
    </w:div>
    <w:div w:id="1774593194">
      <w:bodyDiv w:val="1"/>
      <w:marLeft w:val="0"/>
      <w:marRight w:val="0"/>
      <w:marTop w:val="0"/>
      <w:marBottom w:val="0"/>
      <w:divBdr>
        <w:top w:val="none" w:sz="0" w:space="0" w:color="auto"/>
        <w:left w:val="none" w:sz="0" w:space="0" w:color="auto"/>
        <w:bottom w:val="none" w:sz="0" w:space="0" w:color="auto"/>
        <w:right w:val="none" w:sz="0" w:space="0" w:color="auto"/>
      </w:divBdr>
    </w:div>
    <w:div w:id="1876120329">
      <w:bodyDiv w:val="1"/>
      <w:marLeft w:val="0"/>
      <w:marRight w:val="0"/>
      <w:marTop w:val="0"/>
      <w:marBottom w:val="0"/>
      <w:divBdr>
        <w:top w:val="none" w:sz="0" w:space="0" w:color="auto"/>
        <w:left w:val="none" w:sz="0" w:space="0" w:color="auto"/>
        <w:bottom w:val="none" w:sz="0" w:space="0" w:color="auto"/>
        <w:right w:val="none" w:sz="0" w:space="0" w:color="auto"/>
      </w:divBdr>
    </w:div>
    <w:div w:id="1984890606">
      <w:bodyDiv w:val="1"/>
      <w:marLeft w:val="0"/>
      <w:marRight w:val="0"/>
      <w:marTop w:val="0"/>
      <w:marBottom w:val="0"/>
      <w:divBdr>
        <w:top w:val="none" w:sz="0" w:space="0" w:color="auto"/>
        <w:left w:val="none" w:sz="0" w:space="0" w:color="auto"/>
        <w:bottom w:val="none" w:sz="0" w:space="0" w:color="auto"/>
        <w:right w:val="none" w:sz="0" w:space="0" w:color="auto"/>
      </w:divBdr>
    </w:div>
    <w:div w:id="1985772777">
      <w:bodyDiv w:val="1"/>
      <w:marLeft w:val="0"/>
      <w:marRight w:val="0"/>
      <w:marTop w:val="0"/>
      <w:marBottom w:val="0"/>
      <w:divBdr>
        <w:top w:val="none" w:sz="0" w:space="0" w:color="auto"/>
        <w:left w:val="none" w:sz="0" w:space="0" w:color="auto"/>
        <w:bottom w:val="none" w:sz="0" w:space="0" w:color="auto"/>
        <w:right w:val="none" w:sz="0" w:space="0" w:color="auto"/>
      </w:divBdr>
    </w:div>
    <w:div w:id="2040429020">
      <w:bodyDiv w:val="1"/>
      <w:marLeft w:val="0"/>
      <w:marRight w:val="0"/>
      <w:marTop w:val="0"/>
      <w:marBottom w:val="0"/>
      <w:divBdr>
        <w:top w:val="none" w:sz="0" w:space="0" w:color="auto"/>
        <w:left w:val="none" w:sz="0" w:space="0" w:color="auto"/>
        <w:bottom w:val="none" w:sz="0" w:space="0" w:color="auto"/>
        <w:right w:val="none" w:sz="0" w:space="0" w:color="auto"/>
      </w:divBdr>
    </w:div>
    <w:div w:id="2041080167">
      <w:bodyDiv w:val="1"/>
      <w:marLeft w:val="0"/>
      <w:marRight w:val="0"/>
      <w:marTop w:val="0"/>
      <w:marBottom w:val="0"/>
      <w:divBdr>
        <w:top w:val="none" w:sz="0" w:space="0" w:color="auto"/>
        <w:left w:val="none" w:sz="0" w:space="0" w:color="auto"/>
        <w:bottom w:val="none" w:sz="0" w:space="0" w:color="auto"/>
        <w:right w:val="none" w:sz="0" w:space="0" w:color="auto"/>
      </w:divBdr>
    </w:div>
    <w:div w:id="2067991310">
      <w:bodyDiv w:val="1"/>
      <w:marLeft w:val="0"/>
      <w:marRight w:val="0"/>
      <w:marTop w:val="0"/>
      <w:marBottom w:val="0"/>
      <w:divBdr>
        <w:top w:val="none" w:sz="0" w:space="0" w:color="auto"/>
        <w:left w:val="none" w:sz="0" w:space="0" w:color="auto"/>
        <w:bottom w:val="none" w:sz="0" w:space="0" w:color="auto"/>
        <w:right w:val="none" w:sz="0" w:space="0" w:color="auto"/>
      </w:divBdr>
    </w:div>
    <w:div w:id="2085880163">
      <w:bodyDiv w:val="1"/>
      <w:marLeft w:val="0"/>
      <w:marRight w:val="0"/>
      <w:marTop w:val="0"/>
      <w:marBottom w:val="0"/>
      <w:divBdr>
        <w:top w:val="none" w:sz="0" w:space="0" w:color="auto"/>
        <w:left w:val="none" w:sz="0" w:space="0" w:color="auto"/>
        <w:bottom w:val="none" w:sz="0" w:space="0" w:color="auto"/>
        <w:right w:val="none" w:sz="0" w:space="0" w:color="auto"/>
      </w:divBdr>
    </w:div>
    <w:div w:id="2135782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fhwa.dot.gov/environMent/air_quality/air_toxics/policy_and_guidance/msat/page01.cfm" TargetMode="External"/><Relationship Id="rId18" Type="http://schemas.openxmlformats.org/officeDocument/2006/relationships/image" Target="media/image1.png"/><Relationship Id="rId26" Type="http://schemas.openxmlformats.org/officeDocument/2006/relationships/chart" Target="charts/chart1.xml"/><Relationship Id="rId39" Type="http://schemas.openxmlformats.org/officeDocument/2006/relationships/hyperlink" Target="https://www.pscleanair.org/DocumentCenter/View/354/Regulation-I?bidId="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8.xml"/><Relationship Id="rId42" Type="http://schemas.openxmlformats.org/officeDocument/2006/relationships/hyperlink" Target="https://www.epa.gov/iris" TargetMode="External"/><Relationship Id="rId47" Type="http://schemas.openxmlformats.org/officeDocument/2006/relationships/image" Target="media/image5.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https://nepis.epa.gov/Exe/ZyPDF.cgi?Dockey=P100NNR0.txt" TargetMode="External"/><Relationship Id="rId25" Type="http://schemas.openxmlformats.org/officeDocument/2006/relationships/image" Target="media/image4.png"/><Relationship Id="rId33" Type="http://schemas.openxmlformats.org/officeDocument/2006/relationships/footer" Target="footer7.xml"/><Relationship Id="rId38" Type="http://schemas.openxmlformats.org/officeDocument/2006/relationships/hyperlink" Target="http://www.federalregister.com/Browse/Document/usa/na/fr/2004/8/5/04-17782" TargetMode="External"/><Relationship Id="rId46" Type="http://schemas.openxmlformats.org/officeDocument/2006/relationships/hyperlink" Target="https://www.cadc.uscourts.gov/internet/opinions.nsf/284E23FFE079CD59852578000050C9DA/$file/07-1053-1120274.pdf" TargetMode="External"/><Relationship Id="rId2" Type="http://schemas.openxmlformats.org/officeDocument/2006/relationships/numbering" Target="numbering.xml"/><Relationship Id="rId16" Type="http://schemas.openxmlformats.org/officeDocument/2006/relationships/hyperlink" Target="https://www.epa.gov/national-air-toxics-assessment" TargetMode="External"/><Relationship Id="rId20" Type="http://schemas.openxmlformats.org/officeDocument/2006/relationships/image" Target="media/image3.png"/><Relationship Id="rId29" Type="http://schemas.openxmlformats.org/officeDocument/2006/relationships/header" Target="header1.xm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www.fhwa.dot.gov/environment/air_quality/air_toxics/policy_and_guidance/msat/nmsatetrends.cfm" TargetMode="External"/><Relationship Id="rId32" Type="http://schemas.openxmlformats.org/officeDocument/2006/relationships/footer" Target="footer6.xml"/><Relationship Id="rId37" Type="http://schemas.openxmlformats.org/officeDocument/2006/relationships/hyperlink" Target="https://www3.epa.gov/ttn/scram/guidance/guide/coguide.pdf" TargetMode="External"/><Relationship Id="rId40" Type="http://schemas.openxmlformats.org/officeDocument/2006/relationships/hyperlink" Target="https://apps.leg.wa.gov/wac/default.aspx?cite=173-476-900" TargetMode="External"/><Relationship Id="rId45" Type="http://schemas.openxmlformats.org/officeDocument/2006/relationships/hyperlink" Target="https://cfpub.epa.gov/ncea/iris/iris_documents/documents/subst/0642.htm" TargetMode="External"/><Relationship Id="rId5" Type="http://schemas.openxmlformats.org/officeDocument/2006/relationships/webSettings" Target="webSettings.xml"/><Relationship Id="rId15" Type="http://schemas.openxmlformats.org/officeDocument/2006/relationships/hyperlink" Target="https://www.epa.gov/iris" TargetMode="External"/><Relationship Id="rId23" Type="http://schemas.openxmlformats.org/officeDocument/2006/relationships/image" Target="media/image30.png"/><Relationship Id="rId28" Type="http://schemas.openxmlformats.org/officeDocument/2006/relationships/chart" Target="charts/chart3.xml"/><Relationship Id="rId36" Type="http://schemas.openxmlformats.org/officeDocument/2006/relationships/hyperlink" Target="https://www.environment.fhwa.dot.gov/legislation/nepa/guidance_preparing_env_documents.aspx" TargetMode="Externa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2.png"/><Relationship Id="rId31" Type="http://schemas.openxmlformats.org/officeDocument/2006/relationships/footer" Target="footer5.xml"/><Relationship Id="rId44" Type="http://schemas.openxmlformats.org/officeDocument/2006/relationships/hyperlink" Target="https://www.fhwa.dot.gov/exit.cfm?link=https://www.healtheffects.org/publication/mobile-source-air-toxics-critical-review-literature-exposure-and-health-effects" TargetMode="External"/><Relationship Id="rId60" Type="http://schemas.microsoft.com/office/2016/09/relationships/commentsIds" Target="commentsId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fhwa.dot.gov/environMent/air_quality/air_toxics/policy_and_guidance/msat/page03.cfm" TargetMode="External"/><Relationship Id="rId22" Type="http://schemas.openxmlformats.org/officeDocument/2006/relationships/image" Target="media/image20.png"/><Relationship Id="rId27" Type="http://schemas.openxmlformats.org/officeDocument/2006/relationships/chart" Target="charts/chart2.xml"/><Relationship Id="rId30" Type="http://schemas.openxmlformats.org/officeDocument/2006/relationships/header" Target="header2.xml"/><Relationship Id="rId35" Type="http://schemas.openxmlformats.org/officeDocument/2006/relationships/hyperlink" Target="https://www.fhwa.dot.gov/environment/air_quality/air_toxics/policy_and_guidance/msat/" TargetMode="External"/><Relationship Id="rId43" Type="http://schemas.openxmlformats.org/officeDocument/2006/relationships/hyperlink" Target="https://www.fhwa.dot.gov/exit.cfm?link=https://www.healtheffects.org/publication/mobile-source-air-toxics-critical-review-literature-exposure-and-health-effects" TargetMode="External"/><Relationship Id="rId48" Type="http://schemas.openxmlformats.org/officeDocument/2006/relationships/image" Target="media/image6.png"/><Relationship Id="rId8" Type="http://schemas.openxmlformats.org/officeDocument/2006/relationships/hyperlink" Target="mailto:Karin.landsberg@wsdot.wa.gov"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eia.gov/state/seds/data.php?incfile=/state/seds/sep_sum/html/rank_use.html&amp;sid=WA" TargetMode="External"/><Relationship Id="rId3" Type="http://schemas.openxmlformats.org/officeDocument/2006/relationships/hyperlink" Target="https://apps.leg.wa.gov/WAC/default.aspx?cite=173-476" TargetMode="External"/><Relationship Id="rId7" Type="http://schemas.openxmlformats.org/officeDocument/2006/relationships/hyperlink" Target="https://nepis.epa.gov/Exe/ZyPDF.cgi?Dockey=P100NNR0.txt" TargetMode="External"/><Relationship Id="rId2" Type="http://schemas.openxmlformats.org/officeDocument/2006/relationships/hyperlink" Target="https://www.epa.gov/criteria-air-pollutants/naaqs-table" TargetMode="External"/><Relationship Id="rId1" Type="http://schemas.openxmlformats.org/officeDocument/2006/relationships/hyperlink" Target="https://nepis.epa.gov/Exe/ZyPDF.cgi?Dockey=P100NMXM.pdf" TargetMode="External"/><Relationship Id="rId6" Type="http://schemas.openxmlformats.org/officeDocument/2006/relationships/hyperlink" Target="https://www.epa.gov/national-air-toxics-assessment" TargetMode="External"/><Relationship Id="rId5" Type="http://schemas.openxmlformats.org/officeDocument/2006/relationships/hyperlink" Target="https://www.epa.gov/iris" TargetMode="External"/><Relationship Id="rId4" Type="http://schemas.openxmlformats.org/officeDocument/2006/relationships/hyperlink" Target="https://www.epa.gov/outdoor-air-quality-data/monitor-values-repor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WSDOT.LOC\HQ\Group\309010\06POLICY\Air_Energy\Projects\GHG%20Guidance\State%20Natl%20GHG%20charts%202003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WSDOT.LOC\HQ\Group\309010\06POLICY\Air_Energy\Projects\GHG%20Guidance\State%20Natl%20GHG%20charts%202003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080" b="1" i="0" u="none" strike="noStrike" kern="1200" baseline="0">
                <a:solidFill>
                  <a:schemeClr val="tx1"/>
                </a:solidFill>
                <a:latin typeface="+mn-lt"/>
                <a:ea typeface="+mn-ea"/>
                <a:cs typeface="+mn-cs"/>
              </a:defRPr>
            </a:pPr>
            <a:r>
              <a:rPr lang="en-US"/>
              <a:t>US Emissions, 2018</a:t>
            </a:r>
          </a:p>
        </c:rich>
      </c:tx>
      <c:layout>
        <c:manualLayout>
          <c:xMode val="edge"/>
          <c:yMode val="edge"/>
          <c:x val="0.3028512171937191"/>
          <c:y val="0"/>
        </c:manualLayout>
      </c:layout>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0.16342865837422496"/>
          <c:y val="0.10107288211069186"/>
          <c:w val="0.70019551903838106"/>
          <c:h val="0.79428141407795305"/>
        </c:manualLayout>
      </c:layout>
      <c:pieChart>
        <c:varyColors val="1"/>
        <c:ser>
          <c:idx val="0"/>
          <c:order val="0"/>
          <c:dPt>
            <c:idx val="0"/>
            <c:bubble3D val="0"/>
            <c:spPr>
              <a:solidFill>
                <a:schemeClr val="accent1"/>
              </a:solidFill>
              <a:ln>
                <a:noFill/>
              </a:ln>
              <a:effectLst/>
            </c:spPr>
            <c:extLst>
              <c:ext xmlns:c16="http://schemas.microsoft.com/office/drawing/2014/chart" uri="{C3380CC4-5D6E-409C-BE32-E72D297353CC}">
                <c16:uniqueId val="{00000001-1C75-459F-B42E-E83CB7A07CAD}"/>
              </c:ext>
            </c:extLst>
          </c:dPt>
          <c:dPt>
            <c:idx val="1"/>
            <c:bubble3D val="0"/>
            <c:spPr>
              <a:solidFill>
                <a:schemeClr val="accent2"/>
              </a:solidFill>
              <a:ln>
                <a:noFill/>
              </a:ln>
              <a:effectLst/>
            </c:spPr>
            <c:extLst>
              <c:ext xmlns:c16="http://schemas.microsoft.com/office/drawing/2014/chart" uri="{C3380CC4-5D6E-409C-BE32-E72D297353CC}">
                <c16:uniqueId val="{00000003-1C75-459F-B42E-E83CB7A07CAD}"/>
              </c:ext>
            </c:extLst>
          </c:dPt>
          <c:dPt>
            <c:idx val="2"/>
            <c:bubble3D val="0"/>
            <c:spPr>
              <a:solidFill>
                <a:schemeClr val="accent4"/>
              </a:solidFill>
              <a:ln>
                <a:noFill/>
              </a:ln>
              <a:effectLst/>
            </c:spPr>
            <c:extLst>
              <c:ext xmlns:c16="http://schemas.microsoft.com/office/drawing/2014/chart" uri="{C3380CC4-5D6E-409C-BE32-E72D297353CC}">
                <c16:uniqueId val="{00000005-1C75-459F-B42E-E83CB7A07CAD}"/>
              </c:ext>
            </c:extLst>
          </c:dPt>
          <c:dPt>
            <c:idx val="3"/>
            <c:bubble3D val="0"/>
            <c:spPr>
              <a:solidFill>
                <a:schemeClr val="accent1">
                  <a:lumMod val="60000"/>
                  <a:lumOff val="40000"/>
                </a:schemeClr>
              </a:solidFill>
              <a:ln>
                <a:noFill/>
              </a:ln>
              <a:effectLst/>
            </c:spPr>
            <c:extLst>
              <c:ext xmlns:c16="http://schemas.microsoft.com/office/drawing/2014/chart" uri="{C3380CC4-5D6E-409C-BE32-E72D297353CC}">
                <c16:uniqueId val="{00000007-1C75-459F-B42E-E83CB7A07CAD}"/>
              </c:ext>
            </c:extLst>
          </c:dPt>
          <c:dPt>
            <c:idx val="4"/>
            <c:bubble3D val="0"/>
            <c:spPr>
              <a:solidFill>
                <a:schemeClr val="accent5"/>
              </a:solidFill>
              <a:ln>
                <a:noFill/>
              </a:ln>
              <a:effectLst/>
            </c:spPr>
            <c:extLst>
              <c:ext xmlns:c16="http://schemas.microsoft.com/office/drawing/2014/chart" uri="{C3380CC4-5D6E-409C-BE32-E72D297353CC}">
                <c16:uniqueId val="{00000009-1C75-459F-B42E-E83CB7A07CAD}"/>
              </c:ext>
            </c:extLst>
          </c:dPt>
          <c:dPt>
            <c:idx val="5"/>
            <c:bubble3D val="0"/>
            <c:spPr>
              <a:solidFill>
                <a:schemeClr val="accent6"/>
              </a:solidFill>
              <a:ln>
                <a:noFill/>
              </a:ln>
              <a:effectLst/>
            </c:spPr>
            <c:extLst>
              <c:ext xmlns:c16="http://schemas.microsoft.com/office/drawing/2014/chart" uri="{C3380CC4-5D6E-409C-BE32-E72D297353CC}">
                <c16:uniqueId val="{0000000B-1C75-459F-B42E-E83CB7A07CAD}"/>
              </c:ext>
            </c:extLst>
          </c:dPt>
          <c:dPt>
            <c:idx val="6"/>
            <c:bubble3D val="0"/>
            <c:spPr>
              <a:solidFill>
                <a:schemeClr val="accent3"/>
              </a:solidFill>
              <a:ln>
                <a:noFill/>
              </a:ln>
              <a:effectLst/>
            </c:spPr>
            <c:extLst>
              <c:ext xmlns:c16="http://schemas.microsoft.com/office/drawing/2014/chart" uri="{C3380CC4-5D6E-409C-BE32-E72D297353CC}">
                <c16:uniqueId val="{0000000D-1C75-459F-B42E-E83CB7A07CAD}"/>
              </c:ext>
            </c:extLst>
          </c:dPt>
          <c:dLbls>
            <c:dLbl>
              <c:idx val="1"/>
              <c:layout>
                <c:manualLayout>
                  <c:x val="-1.7780218980426408E-3"/>
                  <c:y val="1.1719803681256261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1C75-459F-B42E-E83CB7A07CAD}"/>
                </c:ext>
              </c:extLst>
            </c:dLbl>
            <c:dLbl>
              <c:idx val="2"/>
              <c:layout>
                <c:manualLayout>
                  <c:x val="-0.11837429550075738"/>
                  <c:y val="-0.16747262381136785"/>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1C75-459F-B42E-E83CB7A07CAD}"/>
                </c:ext>
              </c:extLst>
            </c:dLbl>
            <c:dLbl>
              <c:idx val="3"/>
              <c:layout>
                <c:manualLayout>
                  <c:x val="0.10941543862859622"/>
                  <c:y val="-4.3252405949256341E-3"/>
                </c:manualLayout>
              </c:layout>
              <c:showLegendKey val="0"/>
              <c:showVal val="0"/>
              <c:showCatName val="1"/>
              <c:showSerName val="0"/>
              <c:showPercent val="1"/>
              <c:showBubbleSize val="0"/>
              <c:extLst>
                <c:ext xmlns:c15="http://schemas.microsoft.com/office/drawing/2012/chart" uri="{CE6537A1-D6FC-4f65-9D91-7224C49458BB}">
                  <c15:layout>
                    <c:manualLayout>
                      <c:w val="0.24159655962952983"/>
                      <c:h val="0.16645851560221639"/>
                    </c:manualLayout>
                  </c15:layout>
                </c:ext>
                <c:ext xmlns:c16="http://schemas.microsoft.com/office/drawing/2014/chart" uri="{C3380CC4-5D6E-409C-BE32-E72D297353CC}">
                  <c16:uniqueId val="{00000007-1C75-459F-B42E-E83CB7A07CAD}"/>
                </c:ext>
              </c:extLst>
            </c:dLbl>
            <c:dLbl>
              <c:idx val="4"/>
              <c:layout>
                <c:manualLayout>
                  <c:x val="-4.3729705182441528E-3"/>
                  <c:y val="1.1041012291496217E-2"/>
                </c:manualLayout>
              </c:layout>
              <c:showLegendKey val="0"/>
              <c:showVal val="0"/>
              <c:showCatName val="1"/>
              <c:showSerName val="0"/>
              <c:showPercent val="1"/>
              <c:showBubbleSize val="0"/>
              <c:extLst>
                <c:ext xmlns:c15="http://schemas.microsoft.com/office/drawing/2012/chart" uri="{CE6537A1-D6FC-4f65-9D91-7224C49458BB}">
                  <c15:layout>
                    <c:manualLayout>
                      <c:w val="0.2141098566681747"/>
                      <c:h val="0.17055993000874889"/>
                    </c:manualLayout>
                  </c15:layout>
                </c:ext>
                <c:ext xmlns:c16="http://schemas.microsoft.com/office/drawing/2014/chart" uri="{C3380CC4-5D6E-409C-BE32-E72D297353CC}">
                  <c16:uniqueId val="{00000009-1C75-459F-B42E-E83CB7A07CAD}"/>
                </c:ext>
              </c:extLst>
            </c:dLbl>
            <c:dLbl>
              <c:idx val="5"/>
              <c:layout>
                <c:manualLayout>
                  <c:x val="-1.1734604833530763E-2"/>
                  <c:y val="-1.6699110527850686E-2"/>
                </c:manualLayout>
              </c:layout>
              <c:showLegendKey val="0"/>
              <c:showVal val="0"/>
              <c:showCatName val="1"/>
              <c:showSerName val="0"/>
              <c:showPercent val="1"/>
              <c:showBubbleSize val="0"/>
              <c:extLst>
                <c:ext xmlns:c15="http://schemas.microsoft.com/office/drawing/2012/chart" uri="{CE6537A1-D6FC-4f65-9D91-7224C49458BB}">
                  <c15:layout>
                    <c:manualLayout>
                      <c:w val="0.22558623038485581"/>
                      <c:h val="0.16645851560221639"/>
                    </c:manualLayout>
                  </c15:layout>
                </c:ext>
                <c:ext xmlns:c16="http://schemas.microsoft.com/office/drawing/2014/chart" uri="{C3380CC4-5D6E-409C-BE32-E72D297353CC}">
                  <c16:uniqueId val="{0000000B-1C75-459F-B42E-E83CB7A07CAD}"/>
                </c:ext>
              </c:extLst>
            </c:dLbl>
            <c:dLbl>
              <c:idx val="6"/>
              <c:layout>
                <c:manualLayout>
                  <c:x val="0.18936948568969228"/>
                  <c:y val="0.18879884806065908"/>
                </c:manualLayout>
              </c:layout>
              <c:showLegendKey val="0"/>
              <c:showVal val="0"/>
              <c:showCatName val="1"/>
              <c:showSerName val="0"/>
              <c:showPercent val="1"/>
              <c:showBubbleSize val="0"/>
              <c:extLst>
                <c:ext xmlns:c15="http://schemas.microsoft.com/office/drawing/2012/chart" uri="{CE6537A1-D6FC-4f65-9D91-7224C49458BB}">
                  <c15:layout>
                    <c:manualLayout>
                      <c:w val="0.29696578437701743"/>
                      <c:h val="0.16666666666666666"/>
                    </c:manualLayout>
                  </c15:layout>
                </c:ext>
                <c:ext xmlns:c16="http://schemas.microsoft.com/office/drawing/2014/chart" uri="{C3380CC4-5D6E-409C-BE32-E72D297353CC}">
                  <c16:uniqueId val="{0000000D-1C75-459F-B42E-E83CB7A07CAD}"/>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15:layout/>
              </c:ext>
            </c:extLst>
          </c:dLbls>
          <c:cat>
            <c:strRef>
              <c:f>'Color 2020'!$A$14:$A$20</c:f>
              <c:strCache>
                <c:ptCount val="7"/>
                <c:pt idx="0">
                  <c:v>Electricity</c:v>
                </c:pt>
                <c:pt idx="1">
                  <c:v>Waste Mgmt</c:v>
                </c:pt>
                <c:pt idx="2">
                  <c:v>Industry</c:v>
                </c:pt>
                <c:pt idx="3">
                  <c:v>Agriculture</c:v>
                </c:pt>
                <c:pt idx="4">
                  <c:v>Residential</c:v>
                </c:pt>
                <c:pt idx="5">
                  <c:v>Commercial</c:v>
                </c:pt>
                <c:pt idx="6">
                  <c:v>Transportation</c:v>
                </c:pt>
              </c:strCache>
            </c:strRef>
          </c:cat>
          <c:val>
            <c:numRef>
              <c:f>'Color 2020'!$E$14:$E$20</c:f>
              <c:numCache>
                <c:formatCode>0.0</c:formatCode>
                <c:ptCount val="7"/>
                <c:pt idx="0">
                  <c:v>1753</c:v>
                </c:pt>
                <c:pt idx="1">
                  <c:v>134</c:v>
                </c:pt>
                <c:pt idx="2">
                  <c:v>1221</c:v>
                </c:pt>
                <c:pt idx="3">
                  <c:v>618</c:v>
                </c:pt>
                <c:pt idx="4" formatCode="General">
                  <c:v>336</c:v>
                </c:pt>
                <c:pt idx="5">
                  <c:v>258</c:v>
                </c:pt>
                <c:pt idx="6">
                  <c:v>1798</c:v>
                </c:pt>
              </c:numCache>
            </c:numRef>
          </c:val>
          <c:extLst>
            <c:ext xmlns:c16="http://schemas.microsoft.com/office/drawing/2014/chart" uri="{C3380CC4-5D6E-409C-BE32-E72D297353CC}">
              <c16:uniqueId val="{0000000E-1C75-459F-B42E-E83CB7A07CAD}"/>
            </c:ext>
          </c:extLst>
        </c:ser>
        <c:ser>
          <c:idx val="1"/>
          <c:order val="1"/>
          <c:dPt>
            <c:idx val="0"/>
            <c:bubble3D val="0"/>
            <c:spPr>
              <a:solidFill>
                <a:schemeClr val="dk1">
                  <a:tint val="88500"/>
                </a:schemeClr>
              </a:solidFill>
              <a:ln>
                <a:noFill/>
              </a:ln>
              <a:effectLst/>
            </c:spPr>
            <c:extLst>
              <c:ext xmlns:c16="http://schemas.microsoft.com/office/drawing/2014/chart" uri="{C3380CC4-5D6E-409C-BE32-E72D297353CC}">
                <c16:uniqueId val="{00000010-1C75-459F-B42E-E83CB7A07CAD}"/>
              </c:ext>
            </c:extLst>
          </c:dPt>
          <c:dPt>
            <c:idx val="1"/>
            <c:bubble3D val="0"/>
            <c:spPr>
              <a:solidFill>
                <a:schemeClr val="dk1">
                  <a:tint val="55000"/>
                </a:schemeClr>
              </a:solidFill>
              <a:ln>
                <a:noFill/>
              </a:ln>
              <a:effectLst/>
            </c:spPr>
            <c:extLst>
              <c:ext xmlns:c16="http://schemas.microsoft.com/office/drawing/2014/chart" uri="{C3380CC4-5D6E-409C-BE32-E72D297353CC}">
                <c16:uniqueId val="{00000012-1C75-459F-B42E-E83CB7A07CAD}"/>
              </c:ext>
            </c:extLst>
          </c:dPt>
          <c:dPt>
            <c:idx val="2"/>
            <c:bubble3D val="0"/>
            <c:spPr>
              <a:solidFill>
                <a:schemeClr val="dk1">
                  <a:tint val="75000"/>
                </a:schemeClr>
              </a:solidFill>
              <a:ln>
                <a:noFill/>
              </a:ln>
              <a:effectLst/>
            </c:spPr>
            <c:extLst>
              <c:ext xmlns:c16="http://schemas.microsoft.com/office/drawing/2014/chart" uri="{C3380CC4-5D6E-409C-BE32-E72D297353CC}">
                <c16:uniqueId val="{00000014-1C75-459F-B42E-E83CB7A07CAD}"/>
              </c:ext>
            </c:extLst>
          </c:dPt>
          <c:dPt>
            <c:idx val="3"/>
            <c:bubble3D val="0"/>
            <c:spPr>
              <a:solidFill>
                <a:schemeClr val="dk1">
                  <a:tint val="98500"/>
                </a:schemeClr>
              </a:solidFill>
              <a:ln>
                <a:noFill/>
              </a:ln>
              <a:effectLst/>
            </c:spPr>
            <c:extLst>
              <c:ext xmlns:c16="http://schemas.microsoft.com/office/drawing/2014/chart" uri="{C3380CC4-5D6E-409C-BE32-E72D297353CC}">
                <c16:uniqueId val="{00000016-1C75-459F-B42E-E83CB7A07CAD}"/>
              </c:ext>
            </c:extLst>
          </c:dPt>
          <c:dPt>
            <c:idx val="4"/>
            <c:bubble3D val="0"/>
            <c:spPr>
              <a:solidFill>
                <a:schemeClr val="dk1">
                  <a:tint val="30000"/>
                </a:schemeClr>
              </a:solidFill>
              <a:ln>
                <a:noFill/>
              </a:ln>
              <a:effectLst/>
            </c:spPr>
            <c:extLst>
              <c:ext xmlns:c16="http://schemas.microsoft.com/office/drawing/2014/chart" uri="{C3380CC4-5D6E-409C-BE32-E72D297353CC}">
                <c16:uniqueId val="{00000018-1C75-459F-B42E-E83CB7A07CAD}"/>
              </c:ext>
            </c:extLst>
          </c:dPt>
          <c:dPt>
            <c:idx val="5"/>
            <c:bubble3D val="0"/>
            <c:spPr>
              <a:solidFill>
                <a:schemeClr val="dk1">
                  <a:tint val="60000"/>
                </a:schemeClr>
              </a:solidFill>
              <a:ln>
                <a:noFill/>
              </a:ln>
              <a:effectLst/>
            </c:spPr>
            <c:extLst>
              <c:ext xmlns:c16="http://schemas.microsoft.com/office/drawing/2014/chart" uri="{C3380CC4-5D6E-409C-BE32-E72D297353CC}">
                <c16:uniqueId val="{0000001A-1C75-459F-B42E-E83CB7A07CAD}"/>
              </c:ext>
            </c:extLst>
          </c:dPt>
          <c:dPt>
            <c:idx val="6"/>
            <c:bubble3D val="0"/>
            <c:spPr>
              <a:solidFill>
                <a:schemeClr val="dk1">
                  <a:tint val="80000"/>
                </a:schemeClr>
              </a:solidFill>
              <a:ln>
                <a:noFill/>
              </a:ln>
              <a:effectLst/>
            </c:spPr>
            <c:extLst>
              <c:ext xmlns:c16="http://schemas.microsoft.com/office/drawing/2014/chart" uri="{C3380CC4-5D6E-409C-BE32-E72D297353CC}">
                <c16:uniqueId val="{0000001C-1C75-459F-B42E-E83CB7A07CAD}"/>
              </c:ext>
            </c:extLst>
          </c:dPt>
          <c:dPt>
            <c:idx val="7"/>
            <c:bubble3D val="0"/>
            <c:spPr>
              <a:solidFill>
                <a:schemeClr val="dk1">
                  <a:tint val="88500"/>
                </a:schemeClr>
              </a:solidFill>
              <a:ln>
                <a:noFill/>
              </a:ln>
              <a:effectLst/>
            </c:spPr>
            <c:extLst>
              <c:ext xmlns:c16="http://schemas.microsoft.com/office/drawing/2014/chart" uri="{C3380CC4-5D6E-409C-BE32-E72D297353CC}">
                <c16:uniqueId val="{0000001E-1C75-459F-B42E-E83CB7A07CAD}"/>
              </c:ext>
            </c:extLst>
          </c:dPt>
          <c:cat>
            <c:strRef>
              <c:f>'Color 2020'!$A$14:$A$20</c:f>
              <c:strCache>
                <c:ptCount val="7"/>
                <c:pt idx="0">
                  <c:v>Electricity</c:v>
                </c:pt>
                <c:pt idx="1">
                  <c:v>Waste Mgmt</c:v>
                </c:pt>
                <c:pt idx="2">
                  <c:v>Industry</c:v>
                </c:pt>
                <c:pt idx="3">
                  <c:v>Agriculture</c:v>
                </c:pt>
                <c:pt idx="4">
                  <c:v>Residential</c:v>
                </c:pt>
                <c:pt idx="5">
                  <c:v>Commercial</c:v>
                </c:pt>
                <c:pt idx="6">
                  <c:v>Transportation</c:v>
                </c:pt>
              </c:strCache>
            </c:strRef>
          </c:cat>
          <c:val>
            <c:numRef>
              <c:f>'Color 2020'!$T$29:$T$36</c:f>
              <c:numCache>
                <c:formatCode>General</c:formatCode>
                <c:ptCount val="8"/>
              </c:numCache>
            </c:numRef>
          </c:val>
          <c:extLst>
            <c:ext xmlns:c16="http://schemas.microsoft.com/office/drawing/2014/chart" uri="{C3380CC4-5D6E-409C-BE32-E72D297353CC}">
              <c16:uniqueId val="{0000001F-1C75-459F-B42E-E83CB7A07CA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sz="900" baseline="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080" b="1" i="0" u="none" strike="noStrike" kern="1200" baseline="0">
                <a:solidFill>
                  <a:schemeClr val="tx1"/>
                </a:solidFill>
                <a:latin typeface="+mn-lt"/>
                <a:ea typeface="+mn-ea"/>
                <a:cs typeface="+mn-cs"/>
              </a:defRPr>
            </a:pPr>
            <a:r>
              <a:rPr lang="en-US"/>
              <a:t>Washington Emissions, 2015</a:t>
            </a:r>
          </a:p>
        </c:rich>
      </c:tx>
      <c:layout>
        <c:manualLayout>
          <c:xMode val="edge"/>
          <c:yMode val="edge"/>
          <c:x val="0.20096908167974159"/>
          <c:y val="0"/>
        </c:manualLayout>
      </c:layout>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0.14666052127959556"/>
          <c:y val="0.10181378222619354"/>
          <c:w val="0.71272281202988164"/>
          <c:h val="0.74651336423769588"/>
        </c:manualLayout>
      </c:layout>
      <c:pieChart>
        <c:varyColors val="1"/>
        <c:ser>
          <c:idx val="0"/>
          <c:order val="0"/>
          <c:dPt>
            <c:idx val="0"/>
            <c:bubble3D val="0"/>
            <c:spPr>
              <a:solidFill>
                <a:schemeClr val="accent1"/>
              </a:solidFill>
              <a:ln>
                <a:noFill/>
              </a:ln>
              <a:effectLst/>
            </c:spPr>
            <c:extLst>
              <c:ext xmlns:c16="http://schemas.microsoft.com/office/drawing/2014/chart" uri="{C3380CC4-5D6E-409C-BE32-E72D297353CC}">
                <c16:uniqueId val="{00000001-DAE7-4D13-A07D-CC5DEA3997D2}"/>
              </c:ext>
            </c:extLst>
          </c:dPt>
          <c:dPt>
            <c:idx val="1"/>
            <c:bubble3D val="0"/>
            <c:spPr>
              <a:solidFill>
                <a:schemeClr val="accent2"/>
              </a:solidFill>
              <a:ln>
                <a:noFill/>
              </a:ln>
              <a:effectLst/>
            </c:spPr>
            <c:extLst>
              <c:ext xmlns:c16="http://schemas.microsoft.com/office/drawing/2014/chart" uri="{C3380CC4-5D6E-409C-BE32-E72D297353CC}">
                <c16:uniqueId val="{00000003-DAE7-4D13-A07D-CC5DEA3997D2}"/>
              </c:ext>
            </c:extLst>
          </c:dPt>
          <c:dPt>
            <c:idx val="2"/>
            <c:bubble3D val="0"/>
            <c:spPr>
              <a:solidFill>
                <a:schemeClr val="accent4"/>
              </a:solidFill>
              <a:ln>
                <a:noFill/>
              </a:ln>
              <a:effectLst/>
            </c:spPr>
            <c:extLst>
              <c:ext xmlns:c16="http://schemas.microsoft.com/office/drawing/2014/chart" uri="{C3380CC4-5D6E-409C-BE32-E72D297353CC}">
                <c16:uniqueId val="{00000005-DAE7-4D13-A07D-CC5DEA3997D2}"/>
              </c:ext>
            </c:extLst>
          </c:dPt>
          <c:dPt>
            <c:idx val="3"/>
            <c:bubble3D val="0"/>
            <c:spPr>
              <a:solidFill>
                <a:schemeClr val="accent1">
                  <a:lumMod val="60000"/>
                  <a:lumOff val="40000"/>
                </a:schemeClr>
              </a:solidFill>
              <a:ln>
                <a:noFill/>
              </a:ln>
              <a:effectLst/>
            </c:spPr>
            <c:extLst>
              <c:ext xmlns:c16="http://schemas.microsoft.com/office/drawing/2014/chart" uri="{C3380CC4-5D6E-409C-BE32-E72D297353CC}">
                <c16:uniqueId val="{00000007-DAE7-4D13-A07D-CC5DEA3997D2}"/>
              </c:ext>
            </c:extLst>
          </c:dPt>
          <c:dPt>
            <c:idx val="4"/>
            <c:bubble3D val="0"/>
            <c:spPr>
              <a:solidFill>
                <a:schemeClr val="accent5"/>
              </a:solidFill>
              <a:ln>
                <a:noFill/>
              </a:ln>
              <a:effectLst/>
            </c:spPr>
            <c:extLst>
              <c:ext xmlns:c16="http://schemas.microsoft.com/office/drawing/2014/chart" uri="{C3380CC4-5D6E-409C-BE32-E72D297353CC}">
                <c16:uniqueId val="{00000009-DAE7-4D13-A07D-CC5DEA3997D2}"/>
              </c:ext>
            </c:extLst>
          </c:dPt>
          <c:dPt>
            <c:idx val="5"/>
            <c:bubble3D val="0"/>
            <c:spPr>
              <a:solidFill>
                <a:schemeClr val="accent6"/>
              </a:solidFill>
              <a:ln>
                <a:noFill/>
              </a:ln>
              <a:effectLst/>
            </c:spPr>
            <c:extLst>
              <c:ext xmlns:c16="http://schemas.microsoft.com/office/drawing/2014/chart" uri="{C3380CC4-5D6E-409C-BE32-E72D297353CC}">
                <c16:uniqueId val="{0000000B-DAE7-4D13-A07D-CC5DEA3997D2}"/>
              </c:ext>
            </c:extLst>
          </c:dPt>
          <c:dPt>
            <c:idx val="6"/>
            <c:bubble3D val="0"/>
            <c:spPr>
              <a:solidFill>
                <a:schemeClr val="accent3"/>
              </a:solidFill>
              <a:ln>
                <a:noFill/>
              </a:ln>
              <a:effectLst/>
            </c:spPr>
            <c:extLst>
              <c:ext xmlns:c16="http://schemas.microsoft.com/office/drawing/2014/chart" uri="{C3380CC4-5D6E-409C-BE32-E72D297353CC}">
                <c16:uniqueId val="{0000000D-DAE7-4D13-A07D-CC5DEA3997D2}"/>
              </c:ext>
            </c:extLst>
          </c:dPt>
          <c:dLbls>
            <c:dLbl>
              <c:idx val="0"/>
              <c:layout>
                <c:manualLayout>
                  <c:x val="-0.18125824373476157"/>
                  <c:y val="0.17196039559769244"/>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DAE7-4D13-A07D-CC5DEA3997D2}"/>
                </c:ext>
              </c:extLst>
            </c:dLbl>
            <c:dLbl>
              <c:idx val="2"/>
              <c:layout>
                <c:manualLayout>
                  <c:x val="-0.20182189140419948"/>
                  <c:y val="-8.5949985418489444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DAE7-4D13-A07D-CC5DEA3997D2}"/>
                </c:ext>
              </c:extLst>
            </c:dLbl>
            <c:dLbl>
              <c:idx val="3"/>
              <c:layout>
                <c:manualLayout>
                  <c:x val="-2.6569080226300824E-2"/>
                  <c:y val="-3.0295433665973804E-2"/>
                </c:manualLayout>
              </c:layout>
              <c:showLegendKey val="0"/>
              <c:showVal val="0"/>
              <c:showCatName val="1"/>
              <c:showSerName val="0"/>
              <c:showPercent val="1"/>
              <c:showBubbleSize val="0"/>
              <c:extLst>
                <c:ext xmlns:c15="http://schemas.microsoft.com/office/drawing/2012/chart" uri="{CE6537A1-D6FC-4f65-9D91-7224C49458BB}">
                  <c15:layout>
                    <c:manualLayout>
                      <c:w val="0.24520092002805136"/>
                      <c:h val="0.1367739223905467"/>
                    </c:manualLayout>
                  </c15:layout>
                </c:ext>
                <c:ext xmlns:c16="http://schemas.microsoft.com/office/drawing/2014/chart" uri="{C3380CC4-5D6E-409C-BE32-E72D297353CC}">
                  <c16:uniqueId val="{00000007-DAE7-4D13-A07D-CC5DEA3997D2}"/>
                </c:ext>
              </c:extLst>
            </c:dLbl>
            <c:dLbl>
              <c:idx val="4"/>
              <c:layout>
                <c:manualLayout>
                  <c:x val="-0.10129029210527273"/>
                  <c:y val="9.175255431285544E-3"/>
                </c:manualLayout>
              </c:layout>
              <c:showLegendKey val="0"/>
              <c:showVal val="0"/>
              <c:showCatName val="1"/>
              <c:showSerName val="0"/>
              <c:showPercent val="1"/>
              <c:showBubbleSize val="0"/>
              <c:extLst>
                <c:ext xmlns:c15="http://schemas.microsoft.com/office/drawing/2012/chart" uri="{CE6537A1-D6FC-4f65-9D91-7224C49458BB}">
                  <c15:layout>
                    <c:manualLayout>
                      <c:w val="0.23982464236271342"/>
                      <c:h val="0.1367739223905467"/>
                    </c:manualLayout>
                  </c15:layout>
                </c:ext>
                <c:ext xmlns:c16="http://schemas.microsoft.com/office/drawing/2014/chart" uri="{C3380CC4-5D6E-409C-BE32-E72D297353CC}">
                  <c16:uniqueId val="{00000009-DAE7-4D13-A07D-CC5DEA3997D2}"/>
                </c:ext>
              </c:extLst>
            </c:dLbl>
            <c:dLbl>
              <c:idx val="5"/>
              <c:layout>
                <c:manualLayout>
                  <c:x val="-0.11801521752558965"/>
                  <c:y val="-7.2050219631851722E-2"/>
                </c:manualLayout>
              </c:layout>
              <c:showLegendKey val="0"/>
              <c:showVal val="0"/>
              <c:showCatName val="1"/>
              <c:showSerName val="0"/>
              <c:showPercent val="1"/>
              <c:showBubbleSize val="0"/>
              <c:extLst>
                <c:ext xmlns:c15="http://schemas.microsoft.com/office/drawing/2012/chart" uri="{CE6537A1-D6FC-4f65-9D91-7224C49458BB}">
                  <c15:layout>
                    <c:manualLayout>
                      <c:w val="0.26003691739732343"/>
                      <c:h val="0.14149758795502473"/>
                    </c:manualLayout>
                  </c15:layout>
                </c:ext>
                <c:ext xmlns:c16="http://schemas.microsoft.com/office/drawing/2014/chart" uri="{C3380CC4-5D6E-409C-BE32-E72D297353CC}">
                  <c16:uniqueId val="{0000000B-DAE7-4D13-A07D-CC5DEA3997D2}"/>
                </c:ext>
              </c:extLst>
            </c:dLbl>
            <c:dLbl>
              <c:idx val="6"/>
              <c:layout>
                <c:manualLayout>
                  <c:x val="0.19658495906747236"/>
                  <c:y val="3.6317177405256987E-2"/>
                </c:manualLayout>
              </c:layout>
              <c:showLegendKey val="0"/>
              <c:showVal val="0"/>
              <c:showCatName val="1"/>
              <c:showSerName val="0"/>
              <c:showPercent val="1"/>
              <c:showBubbleSize val="0"/>
              <c:extLst>
                <c:ext xmlns:c15="http://schemas.microsoft.com/office/drawing/2012/chart" uri="{CE6537A1-D6FC-4f65-9D91-7224C49458BB}">
                  <c15:layout>
                    <c:manualLayout>
                      <c:w val="0.28018015399205692"/>
                      <c:h val="0.16983958134189298"/>
                    </c:manualLayout>
                  </c15:layout>
                </c:ext>
                <c:ext xmlns:c16="http://schemas.microsoft.com/office/drawing/2014/chart" uri="{C3380CC4-5D6E-409C-BE32-E72D297353CC}">
                  <c16:uniqueId val="{0000000D-DAE7-4D13-A07D-CC5DEA3997D2}"/>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15:layout/>
              </c:ext>
            </c:extLst>
          </c:dLbls>
          <c:cat>
            <c:strRef>
              <c:f>'Color 2020'!$A$14:$A$20</c:f>
              <c:strCache>
                <c:ptCount val="7"/>
                <c:pt idx="0">
                  <c:v>Electricity</c:v>
                </c:pt>
                <c:pt idx="1">
                  <c:v>Waste Mgmt</c:v>
                </c:pt>
                <c:pt idx="2">
                  <c:v>Industry</c:v>
                </c:pt>
                <c:pt idx="3">
                  <c:v>Agriculture</c:v>
                </c:pt>
                <c:pt idx="4">
                  <c:v>Residential</c:v>
                </c:pt>
                <c:pt idx="5">
                  <c:v>Commercial</c:v>
                </c:pt>
                <c:pt idx="6">
                  <c:v>Transportation</c:v>
                </c:pt>
              </c:strCache>
            </c:strRef>
          </c:cat>
          <c:val>
            <c:numRef>
              <c:f>'Color 2020'!$B$14:$B$20</c:f>
              <c:numCache>
                <c:formatCode>General</c:formatCode>
                <c:ptCount val="7"/>
                <c:pt idx="0">
                  <c:v>19</c:v>
                </c:pt>
                <c:pt idx="1">
                  <c:v>3.5</c:v>
                </c:pt>
                <c:pt idx="2">
                  <c:v>17.799999999999997</c:v>
                </c:pt>
                <c:pt idx="3">
                  <c:v>6.6</c:v>
                </c:pt>
                <c:pt idx="4">
                  <c:v>4.8</c:v>
                </c:pt>
                <c:pt idx="5">
                  <c:v>4.0999999999999996</c:v>
                </c:pt>
                <c:pt idx="6">
                  <c:v>41.4</c:v>
                </c:pt>
              </c:numCache>
            </c:numRef>
          </c:val>
          <c:extLst>
            <c:ext xmlns:c16="http://schemas.microsoft.com/office/drawing/2014/chart" uri="{C3380CC4-5D6E-409C-BE32-E72D297353CC}">
              <c16:uniqueId val="{0000000E-DAE7-4D13-A07D-CC5DEA3997D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sz="900" baseline="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F8C-4C6B-8927-A12F523B696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F8C-4C6B-8927-A12F523B696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F8C-4C6B-8927-A12F523B696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F8C-4C6B-8927-A12F523B696F}"/>
              </c:ext>
            </c:extLst>
          </c:dPt>
          <c:dLbls>
            <c:dLbl>
              <c:idx val="0"/>
              <c:layout>
                <c:manualLayout>
                  <c:x val="3.8805118110236222E-2"/>
                  <c:y val="0.112030110819480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F8C-4C6B-8927-A12F523B696F}"/>
                </c:ext>
              </c:extLst>
            </c:dLbl>
            <c:dLbl>
              <c:idx val="1"/>
              <c:layout>
                <c:manualLayout>
                  <c:x val="2.2158464566929135E-2"/>
                  <c:y val="-3.052675707203266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F8C-4C6B-8927-A12F523B696F}"/>
                </c:ext>
              </c:extLst>
            </c:dLbl>
            <c:dLbl>
              <c:idx val="2"/>
              <c:layout>
                <c:manualLayout>
                  <c:x val="-0.13083497375328085"/>
                  <c:y val="-9.067111402741323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F8C-4C6B-8927-A12F523B696F}"/>
                </c:ext>
              </c:extLst>
            </c:dLbl>
            <c:dLbl>
              <c:idx val="3"/>
              <c:layout>
                <c:manualLayout>
                  <c:x val="-2.0059055118110238E-3"/>
                  <c:y val="3.8724846894138232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F8C-4C6B-8927-A12F523B696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Sheet1!$A$4:$A$7</c:f>
              <c:strCache>
                <c:ptCount val="4"/>
                <c:pt idx="0">
                  <c:v>Residential</c:v>
                </c:pt>
                <c:pt idx="1">
                  <c:v>Commercial</c:v>
                </c:pt>
                <c:pt idx="2">
                  <c:v>Industrial</c:v>
                </c:pt>
                <c:pt idx="3">
                  <c:v>Transporation</c:v>
                </c:pt>
              </c:strCache>
            </c:strRef>
          </c:cat>
          <c:val>
            <c:numRef>
              <c:f>Sheet1!$B$4:$B$7</c:f>
              <c:numCache>
                <c:formatCode>General</c:formatCode>
                <c:ptCount val="4"/>
                <c:pt idx="0">
                  <c:v>504.1</c:v>
                </c:pt>
                <c:pt idx="1">
                  <c:v>378.5</c:v>
                </c:pt>
                <c:pt idx="2">
                  <c:v>535.20000000000005</c:v>
                </c:pt>
                <c:pt idx="3">
                  <c:v>679.1</c:v>
                </c:pt>
              </c:numCache>
            </c:numRef>
          </c:val>
          <c:extLst>
            <c:ext xmlns:c16="http://schemas.microsoft.com/office/drawing/2014/chart" uri="{C3380CC4-5D6E-409C-BE32-E72D297353CC}">
              <c16:uniqueId val="{00000008-6F8C-4C6B-8927-A12F523B696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9A591-582E-4582-B643-40B8FFB4C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43</Pages>
  <Words>11336</Words>
  <Characters>64621</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Air Quality, Greenhouse Gas, and Energy Discipline Report Template</vt:lpstr>
    </vt:vector>
  </TitlesOfParts>
  <Company>WSDOT</Company>
  <LinksUpToDate>false</LinksUpToDate>
  <CharactersWithSpaces>75806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Air Quality, Greenhouse Gas, and Energy Discipline Report Template</dc:title>
  <dc:subject/>
  <dc:creator>WSDOT Environmental Services Office</dc:creator>
  <cp:keywords/>
  <dc:description/>
  <cp:lastModifiedBy>Landsberg, Karin</cp:lastModifiedBy>
  <cp:revision>12</cp:revision>
  <cp:lastPrinted>2020-03-05T23:35:00Z</cp:lastPrinted>
  <dcterms:created xsi:type="dcterms:W3CDTF">2020-04-10T18:18:00Z</dcterms:created>
  <dcterms:modified xsi:type="dcterms:W3CDTF">2020-04-10T20:03:00Z</dcterms:modified>
</cp:coreProperties>
</file>